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DC8C3D">
      <w:pPr>
        <w:jc w:val="center"/>
        <w:rPr>
          <w:rFonts w:cs="黑体" w:asciiTheme="minorEastAsia" w:hAnsiTheme="minorEastAsia" w:eastAsiaTheme="minorEastAsia"/>
          <w:b/>
          <w:sz w:val="44"/>
          <w:szCs w:val="44"/>
        </w:rPr>
      </w:pPr>
      <w:r>
        <w:rPr>
          <w:rFonts w:hint="eastAsia" w:cs="黑体" w:asciiTheme="minorEastAsia" w:hAnsiTheme="minorEastAsia" w:eastAsiaTheme="minorEastAsia"/>
          <w:b/>
          <w:sz w:val="44"/>
          <w:szCs w:val="44"/>
        </w:rPr>
        <w:t>2026年龙岗中心医院奇安信</w:t>
      </w:r>
      <w:r>
        <w:rPr>
          <w:rFonts w:cs="黑体" w:asciiTheme="minorEastAsia" w:hAnsiTheme="minorEastAsia" w:eastAsiaTheme="minorEastAsia"/>
          <w:b/>
          <w:sz w:val="44"/>
          <w:szCs w:val="44"/>
        </w:rPr>
        <w:t>网神云锁服务器安全管理系统授权</w:t>
      </w:r>
      <w:r>
        <w:rPr>
          <w:rFonts w:hint="eastAsia" w:cs="黑体" w:asciiTheme="minorEastAsia" w:hAnsiTheme="minorEastAsia" w:eastAsiaTheme="minorEastAsia"/>
          <w:b/>
          <w:sz w:val="44"/>
          <w:szCs w:val="44"/>
        </w:rPr>
        <w:t>维保项目</w:t>
      </w:r>
    </w:p>
    <w:p w14:paraId="511DB7AE">
      <w:pPr>
        <w:jc w:val="center"/>
        <w:rPr>
          <w:rFonts w:cs="黑体" w:asciiTheme="minorEastAsia" w:hAnsiTheme="minorEastAsia" w:eastAsiaTheme="minorEastAsia"/>
          <w:b/>
          <w:sz w:val="44"/>
          <w:szCs w:val="44"/>
        </w:rPr>
      </w:pPr>
      <w:r>
        <w:rPr>
          <w:rFonts w:hint="eastAsia" w:cs="黑体" w:asciiTheme="minorEastAsia" w:hAnsiTheme="minorEastAsia" w:eastAsiaTheme="minorEastAsia"/>
          <w:b/>
          <w:sz w:val="44"/>
          <w:szCs w:val="44"/>
        </w:rPr>
        <w:t>采购需求</w:t>
      </w:r>
    </w:p>
    <w:p w14:paraId="3F26C05B">
      <w:pPr>
        <w:tabs>
          <w:tab w:val="left" w:pos="720"/>
        </w:tabs>
        <w:spacing w:line="360" w:lineRule="auto"/>
        <w:ind w:left="2879" w:leftChars="300" w:hanging="2249" w:hangingChars="700"/>
        <w:rPr>
          <w:rFonts w:hint="eastAsia" w:asciiTheme="minorEastAsia" w:hAnsiTheme="minorEastAsia" w:eastAsiaTheme="minorEastAsia"/>
          <w:b/>
          <w:sz w:val="32"/>
          <w:szCs w:val="20"/>
        </w:rPr>
      </w:pPr>
      <w:bookmarkStart w:id="0" w:name="_GoBack"/>
      <w:bookmarkEnd w:id="0"/>
    </w:p>
    <w:p w14:paraId="5DB80492">
      <w:pPr>
        <w:tabs>
          <w:tab w:val="left" w:pos="720"/>
        </w:tabs>
        <w:spacing w:line="360" w:lineRule="auto"/>
        <w:ind w:left="2879" w:leftChars="300" w:hanging="2249" w:hangingChars="700"/>
        <w:rPr>
          <w:rFonts w:asciiTheme="minorEastAsia" w:hAnsiTheme="minorEastAsia" w:eastAsiaTheme="minorEastAsia"/>
          <w:b/>
          <w:sz w:val="32"/>
          <w:szCs w:val="20"/>
        </w:rPr>
      </w:pPr>
      <w:r>
        <w:rPr>
          <w:rFonts w:hint="eastAsia" w:asciiTheme="minorEastAsia" w:hAnsiTheme="minorEastAsia" w:eastAsiaTheme="minorEastAsia"/>
          <w:b/>
          <w:sz w:val="32"/>
          <w:szCs w:val="20"/>
        </w:rPr>
        <w:t xml:space="preserve">项目名称：  云锁服务器安全管理系统维保和授权扩容  </w:t>
      </w:r>
    </w:p>
    <w:p w14:paraId="368884D2">
      <w:pPr>
        <w:tabs>
          <w:tab w:val="left" w:pos="720"/>
        </w:tabs>
        <w:spacing w:line="360" w:lineRule="auto"/>
        <w:ind w:left="2879" w:leftChars="300" w:hanging="2249" w:hangingChars="700"/>
        <w:rPr>
          <w:rFonts w:asciiTheme="minorEastAsia" w:hAnsiTheme="minorEastAsia" w:eastAsiaTheme="minorEastAsia"/>
          <w:b/>
          <w:sz w:val="32"/>
          <w:szCs w:val="20"/>
        </w:rPr>
      </w:pPr>
      <w:r>
        <w:rPr>
          <w:rFonts w:hint="eastAsia" w:asciiTheme="minorEastAsia" w:hAnsiTheme="minorEastAsia" w:eastAsiaTheme="minorEastAsia"/>
          <w:b/>
          <w:sz w:val="32"/>
          <w:szCs w:val="20"/>
        </w:rPr>
        <w:t xml:space="preserve">本项目总金额为¥ 512000 元人民币               </w:t>
      </w:r>
    </w:p>
    <w:p w14:paraId="1A6AFAFA">
      <w:pPr>
        <w:keepNext w:val="0"/>
        <w:keepLines w:val="0"/>
        <w:widowControl/>
        <w:suppressLineNumbers w:val="0"/>
        <w:spacing w:before="0" w:beforeAutospacing="0" w:after="0" w:afterAutospacing="0"/>
        <w:ind w:right="0"/>
        <w:jc w:val="left"/>
        <w:rPr>
          <w:rFonts w:hint="eastAsia" w:cs="宋体" w:asciiTheme="minorEastAsia" w:hAnsiTheme="minorEastAsia" w:eastAsiaTheme="minorEastAsia"/>
          <w:kern w:val="0"/>
          <w:sz w:val="32"/>
          <w:szCs w:val="32"/>
          <w:lang w:val="en-US" w:eastAsia="zh-CN"/>
        </w:rPr>
      </w:pPr>
    </w:p>
    <w:p w14:paraId="4752C8AC">
      <w:pPr>
        <w:keepNext w:val="0"/>
        <w:keepLines w:val="0"/>
        <w:widowControl/>
        <w:suppressLineNumbers w:val="0"/>
        <w:spacing w:before="0" w:beforeAutospacing="0" w:after="0" w:afterAutospacing="0"/>
        <w:ind w:left="0" w:right="0" w:firstLine="640" w:firstLineChars="200"/>
        <w:jc w:val="left"/>
        <w:rPr>
          <w:rFonts w:hint="eastAsia" w:cs="宋体" w:asciiTheme="minorEastAsia" w:hAnsiTheme="minorEastAsia" w:eastAsiaTheme="minorEastAsia"/>
          <w:kern w:val="0"/>
          <w:sz w:val="32"/>
          <w:szCs w:val="32"/>
        </w:rPr>
      </w:pPr>
      <w:r>
        <w:rPr>
          <w:rFonts w:hint="eastAsia" w:cs="宋体" w:asciiTheme="minorEastAsia" w:hAnsiTheme="minorEastAsia" w:eastAsiaTheme="minorEastAsia"/>
          <w:kern w:val="0"/>
          <w:sz w:val="32"/>
          <w:szCs w:val="32"/>
          <w:lang w:val="en-US" w:eastAsia="zh-CN"/>
        </w:rPr>
        <w:t>本项目为龙岗中心医院 2026 年奇安信网神云锁服务器安全管理系统授权扩容及年度维保采购项目，项目总预算 512000 元，维保服务采购：针对院内现有 700 个云锁服务器授权采购 1 年升级维保服务，服务周期 1 年，包含硬件故障远程排查、7×24 小时热线技术支撑、同代软件版本迭代升级、全年 4 次季度巡检及 1 次半年专项巡检等服务；授权扩容采购：新增 200 个云锁 V8.0 服务器防护授权，配套 1 年同步维保服务，覆盖服务器资产测绘、URL 资产梳理、Webshell / 注入攻击防护、勒索病毒防御、微隔离、安全基线、账号风险检测、漏洞扫描等全套安全防护模块；扩容完成后全院授权总量达 900 个，可满足院内近 900 台服务器统一安全管控需求。项目要求供应商提供原厂正版授权函、售后服务承诺函、保密承诺函，完成授权导入更新并通过验收后结清尾款。</w:t>
      </w:r>
    </w:p>
    <w:p w14:paraId="3EBF7220">
      <w:pPr>
        <w:pStyle w:val="15"/>
        <w:numPr>
          <w:ilvl w:val="0"/>
          <w:numId w:val="1"/>
        </w:numPr>
        <w:spacing w:line="240" w:lineRule="auto"/>
        <w:ind w:firstLine="0" w:firstLineChars="0"/>
        <w:jc w:val="left"/>
        <w:rPr>
          <w:rFonts w:asciiTheme="minorEastAsia" w:hAnsiTheme="minorEastAsia" w:eastAsiaTheme="minorEastAsia" w:cstheme="majorEastAsia"/>
          <w:b/>
          <w:bCs/>
          <w:color w:val="000000"/>
          <w:sz w:val="28"/>
          <w:szCs w:val="28"/>
        </w:rPr>
      </w:pPr>
      <w:r>
        <w:rPr>
          <w:rFonts w:hint="eastAsia" w:asciiTheme="minorEastAsia" w:hAnsiTheme="minorEastAsia" w:eastAsiaTheme="minorEastAsia" w:cstheme="majorEastAsia"/>
          <w:b/>
          <w:bCs/>
          <w:color w:val="000000"/>
          <w:sz w:val="28"/>
          <w:szCs w:val="28"/>
        </w:rPr>
        <w:t>技术要求</w:t>
      </w:r>
    </w:p>
    <w:p w14:paraId="050EA567">
      <w:pPr>
        <w:pStyle w:val="15"/>
        <w:spacing w:line="240" w:lineRule="auto"/>
        <w:ind w:firstLine="0" w:firstLineChars="0"/>
        <w:jc w:val="left"/>
        <w:rPr>
          <w:rFonts w:asciiTheme="minorEastAsia" w:hAnsiTheme="minorEastAsia" w:eastAsiaTheme="minorEastAsia" w:cstheme="majorEastAsia"/>
          <w:b/>
          <w:bCs/>
          <w:color w:val="000000"/>
          <w:sz w:val="28"/>
          <w:szCs w:val="28"/>
        </w:rPr>
      </w:pPr>
      <w:r>
        <w:rPr>
          <w:rFonts w:hint="eastAsia" w:asciiTheme="minorEastAsia" w:hAnsiTheme="minorEastAsia" w:eastAsiaTheme="minorEastAsia" w:cstheme="majorEastAsia"/>
          <w:b/>
          <w:bCs/>
          <w:color w:val="000000"/>
          <w:sz w:val="28"/>
          <w:szCs w:val="28"/>
        </w:rPr>
        <w:t>以下技术均需全部满足</w:t>
      </w:r>
    </w:p>
    <w:tbl>
      <w:tblPr>
        <w:tblStyle w:val="11"/>
        <w:tblW w:w="9955" w:type="dxa"/>
        <w:tblInd w:w="-751" w:type="dxa"/>
        <w:tblLayout w:type="autofit"/>
        <w:tblCellMar>
          <w:top w:w="0" w:type="dxa"/>
          <w:left w:w="108" w:type="dxa"/>
          <w:bottom w:w="0" w:type="dxa"/>
          <w:right w:w="108" w:type="dxa"/>
        </w:tblCellMar>
      </w:tblPr>
      <w:tblGrid>
        <w:gridCol w:w="1135"/>
        <w:gridCol w:w="1024"/>
        <w:gridCol w:w="1276"/>
        <w:gridCol w:w="4961"/>
        <w:gridCol w:w="709"/>
        <w:gridCol w:w="850"/>
      </w:tblGrid>
      <w:tr w14:paraId="2794AAFB">
        <w:tblPrEx>
          <w:tblCellMar>
            <w:top w:w="0" w:type="dxa"/>
            <w:left w:w="108" w:type="dxa"/>
            <w:bottom w:w="0" w:type="dxa"/>
            <w:right w:w="108" w:type="dxa"/>
          </w:tblCellMar>
        </w:tblPrEx>
        <w:trPr>
          <w:trHeight w:val="570" w:hRule="atLeast"/>
        </w:trPr>
        <w:tc>
          <w:tcPr>
            <w:tcW w:w="1135" w:type="dxa"/>
            <w:tcBorders>
              <w:top w:val="single" w:color="auto" w:sz="4" w:space="0"/>
              <w:left w:val="single" w:color="auto" w:sz="8" w:space="0"/>
              <w:bottom w:val="single" w:color="auto" w:sz="4" w:space="0"/>
              <w:right w:val="single" w:color="auto" w:sz="4" w:space="0"/>
            </w:tcBorders>
            <w:vAlign w:val="center"/>
          </w:tcPr>
          <w:p w14:paraId="578FE1B9">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r>
              <w:rPr>
                <w:rFonts w:hint="default" w:cs="宋体" w:asciiTheme="minorEastAsia" w:hAnsiTheme="minorEastAsia" w:eastAsiaTheme="minorEastAsia"/>
                <w:kern w:val="0"/>
                <w:sz w:val="20"/>
                <w:szCs w:val="20"/>
              </w:rPr>
              <w:t>服务名称</w:t>
            </w:r>
          </w:p>
        </w:tc>
        <w:tc>
          <w:tcPr>
            <w:tcW w:w="1024" w:type="dxa"/>
            <w:tcBorders>
              <w:top w:val="single" w:color="auto" w:sz="4" w:space="0"/>
              <w:left w:val="nil"/>
              <w:bottom w:val="single" w:color="auto" w:sz="4" w:space="0"/>
              <w:right w:val="single" w:color="auto" w:sz="4" w:space="0"/>
            </w:tcBorders>
            <w:vAlign w:val="center"/>
          </w:tcPr>
          <w:p w14:paraId="14D8612D">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r>
              <w:rPr>
                <w:rFonts w:hint="default" w:cs="宋体" w:asciiTheme="minorEastAsia" w:hAnsiTheme="minorEastAsia" w:eastAsiaTheme="minorEastAsia"/>
                <w:kern w:val="0"/>
                <w:sz w:val="20"/>
                <w:szCs w:val="20"/>
              </w:rPr>
              <w:t>服务大类</w:t>
            </w:r>
          </w:p>
        </w:tc>
        <w:tc>
          <w:tcPr>
            <w:tcW w:w="1276" w:type="dxa"/>
            <w:tcBorders>
              <w:top w:val="single" w:color="auto" w:sz="4" w:space="0"/>
              <w:left w:val="nil"/>
              <w:bottom w:val="single" w:color="auto" w:sz="4" w:space="0"/>
              <w:right w:val="single" w:color="auto" w:sz="4" w:space="0"/>
            </w:tcBorders>
            <w:vAlign w:val="center"/>
          </w:tcPr>
          <w:p w14:paraId="750AF4CC">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r>
              <w:rPr>
                <w:rFonts w:hint="default" w:cs="宋体" w:asciiTheme="minorEastAsia" w:hAnsiTheme="minorEastAsia" w:eastAsiaTheme="minorEastAsia"/>
                <w:kern w:val="0"/>
                <w:sz w:val="20"/>
                <w:szCs w:val="20"/>
              </w:rPr>
              <w:t>规格型号</w:t>
            </w:r>
          </w:p>
        </w:tc>
        <w:tc>
          <w:tcPr>
            <w:tcW w:w="4961" w:type="dxa"/>
            <w:tcBorders>
              <w:top w:val="single" w:color="auto" w:sz="4" w:space="0"/>
              <w:left w:val="nil"/>
              <w:bottom w:val="single" w:color="auto" w:sz="4" w:space="0"/>
              <w:right w:val="single" w:color="auto" w:sz="4" w:space="0"/>
            </w:tcBorders>
            <w:vAlign w:val="center"/>
          </w:tcPr>
          <w:p w14:paraId="3E49E80C">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r>
              <w:rPr>
                <w:rFonts w:hint="default" w:cs="宋体" w:asciiTheme="minorEastAsia" w:hAnsiTheme="minorEastAsia" w:eastAsiaTheme="minorEastAsia"/>
                <w:kern w:val="0"/>
                <w:sz w:val="20"/>
                <w:szCs w:val="20"/>
              </w:rPr>
              <w:t>服务内容</w:t>
            </w:r>
          </w:p>
        </w:tc>
        <w:tc>
          <w:tcPr>
            <w:tcW w:w="709" w:type="dxa"/>
            <w:tcBorders>
              <w:top w:val="single" w:color="auto" w:sz="4" w:space="0"/>
              <w:left w:val="nil"/>
              <w:bottom w:val="single" w:color="auto" w:sz="4" w:space="0"/>
              <w:right w:val="single" w:color="auto" w:sz="4" w:space="0"/>
            </w:tcBorders>
            <w:vAlign w:val="center"/>
          </w:tcPr>
          <w:p w14:paraId="62619694">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r>
              <w:rPr>
                <w:rFonts w:hint="default" w:cs="宋体" w:asciiTheme="minorEastAsia" w:hAnsiTheme="minorEastAsia" w:eastAsiaTheme="minorEastAsia"/>
                <w:kern w:val="0"/>
                <w:sz w:val="20"/>
                <w:szCs w:val="20"/>
              </w:rPr>
              <w:t>单位</w:t>
            </w:r>
          </w:p>
        </w:tc>
        <w:tc>
          <w:tcPr>
            <w:tcW w:w="850" w:type="dxa"/>
            <w:tcBorders>
              <w:top w:val="single" w:color="auto" w:sz="4" w:space="0"/>
              <w:left w:val="nil"/>
              <w:bottom w:val="single" w:color="auto" w:sz="4" w:space="0"/>
              <w:right w:val="single" w:color="auto" w:sz="4" w:space="0"/>
            </w:tcBorders>
            <w:vAlign w:val="center"/>
          </w:tcPr>
          <w:p w14:paraId="1144C7BE">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数量</w:t>
            </w:r>
          </w:p>
        </w:tc>
      </w:tr>
      <w:tr w14:paraId="249C68C5">
        <w:tblPrEx>
          <w:tblCellMar>
            <w:top w:w="0" w:type="dxa"/>
            <w:left w:w="108" w:type="dxa"/>
            <w:bottom w:w="0" w:type="dxa"/>
            <w:right w:w="108" w:type="dxa"/>
          </w:tblCellMar>
        </w:tblPrEx>
        <w:trPr>
          <w:trHeight w:val="2850" w:hRule="atLeast"/>
        </w:trPr>
        <w:tc>
          <w:tcPr>
            <w:tcW w:w="1135" w:type="dxa"/>
            <w:vMerge w:val="restart"/>
            <w:tcBorders>
              <w:top w:val="nil"/>
              <w:left w:val="single" w:color="auto" w:sz="8" w:space="0"/>
              <w:right w:val="single" w:color="auto" w:sz="4" w:space="0"/>
            </w:tcBorders>
            <w:vAlign w:val="center"/>
          </w:tcPr>
          <w:p w14:paraId="7187EDC7">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r>
              <w:rPr>
                <w:rFonts w:hint="default" w:cs="宋体" w:asciiTheme="minorEastAsia" w:hAnsiTheme="minorEastAsia" w:eastAsiaTheme="minorEastAsia"/>
                <w:kern w:val="0"/>
                <w:sz w:val="20"/>
                <w:szCs w:val="20"/>
              </w:rPr>
              <w:t>网神云锁服务器安全管理系统授权扩容</w:t>
            </w:r>
          </w:p>
        </w:tc>
        <w:tc>
          <w:tcPr>
            <w:tcW w:w="1024" w:type="dxa"/>
            <w:vMerge w:val="restart"/>
            <w:tcBorders>
              <w:top w:val="nil"/>
              <w:left w:val="nil"/>
              <w:right w:val="single" w:color="auto" w:sz="4" w:space="0"/>
            </w:tcBorders>
            <w:vAlign w:val="center"/>
          </w:tcPr>
          <w:p w14:paraId="198DE752">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r>
              <w:rPr>
                <w:rFonts w:hint="default" w:cs="宋体" w:asciiTheme="minorEastAsia" w:hAnsiTheme="minorEastAsia" w:eastAsiaTheme="minorEastAsia"/>
                <w:kern w:val="0"/>
                <w:sz w:val="20"/>
                <w:szCs w:val="20"/>
              </w:rPr>
              <w:t>授权扩容</w:t>
            </w:r>
          </w:p>
        </w:tc>
        <w:tc>
          <w:tcPr>
            <w:tcW w:w="1276" w:type="dxa"/>
            <w:vMerge w:val="restart"/>
            <w:tcBorders>
              <w:top w:val="nil"/>
              <w:left w:val="nil"/>
              <w:right w:val="single" w:color="auto" w:sz="4" w:space="0"/>
            </w:tcBorders>
            <w:vAlign w:val="center"/>
          </w:tcPr>
          <w:p w14:paraId="0A9E16AE">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奇安信网神云锁服务器安全管理系统V8.0</w:t>
            </w:r>
          </w:p>
        </w:tc>
        <w:tc>
          <w:tcPr>
            <w:tcW w:w="4961" w:type="dxa"/>
            <w:tcBorders>
              <w:top w:val="nil"/>
              <w:left w:val="nil"/>
              <w:bottom w:val="single" w:color="auto" w:sz="4" w:space="0"/>
              <w:right w:val="single" w:color="auto" w:sz="4" w:space="0"/>
            </w:tcBorders>
            <w:vAlign w:val="center"/>
          </w:tcPr>
          <w:p w14:paraId="7EFBDFC1">
            <w:pPr>
              <w:keepNext w:val="0"/>
              <w:keepLines w:val="0"/>
              <w:widowControl/>
              <w:suppressLineNumbers w:val="0"/>
              <w:spacing w:before="0" w:beforeAutospacing="0" w:after="0" w:afterAutospacing="0"/>
              <w:ind w:left="0" w:right="0"/>
              <w:jc w:val="left"/>
              <w:rPr>
                <w:rFonts w:hint="default" w:cs="宋体" w:asciiTheme="minorEastAsia" w:hAnsiTheme="minorEastAsia" w:eastAsiaTheme="minorEastAsia"/>
                <w:kern w:val="0"/>
                <w:sz w:val="20"/>
                <w:szCs w:val="20"/>
              </w:rPr>
            </w:pPr>
            <w:r>
              <w:rPr>
                <w:rFonts w:hint="default" w:cs="宋体" w:asciiTheme="minorEastAsia" w:hAnsiTheme="minorEastAsia" w:eastAsiaTheme="minorEastAsia"/>
                <w:kern w:val="0"/>
                <w:sz w:val="20"/>
                <w:szCs w:val="20"/>
              </w:rPr>
              <w:t>提供</w:t>
            </w:r>
            <w:r>
              <w:rPr>
                <w:rFonts w:hint="eastAsia" w:cs="宋体" w:asciiTheme="minorEastAsia" w:hAnsiTheme="minorEastAsia" w:eastAsiaTheme="minorEastAsia"/>
                <w:kern w:val="0"/>
                <w:sz w:val="20"/>
                <w:szCs w:val="20"/>
              </w:rPr>
              <w:t>基础模块+新增基础模块+后台URL梳理+入侵检测+Webshe</w:t>
            </w:r>
            <w:r>
              <w:rPr>
                <w:rFonts w:hint="eastAsia" w:cs="宋体" w:asciiTheme="minorEastAsia" w:hAnsiTheme="minorEastAsia" w:eastAsiaTheme="minorEastAsia"/>
                <w:kern w:val="0"/>
                <w:sz w:val="20"/>
                <w:szCs w:val="20"/>
                <w:lang w:val="en-US" w:eastAsia="zh-CN"/>
              </w:rPr>
              <w:t>l</w:t>
            </w:r>
            <w:r>
              <w:rPr>
                <w:rFonts w:hint="eastAsia" w:cs="宋体" w:asciiTheme="minorEastAsia" w:hAnsiTheme="minorEastAsia" w:eastAsiaTheme="minorEastAsia"/>
                <w:kern w:val="0"/>
                <w:sz w:val="20"/>
                <w:szCs w:val="20"/>
              </w:rPr>
              <w:t>l防护+微隔离+行为管理+风险总览+授权管理+功能设置+漏洞扫描及防护+安全态势+威胁总览+恶意扫描+勒索病毒防护+安全基线+防病毒+账号风险检测</w:t>
            </w:r>
            <w:r>
              <w:rPr>
                <w:rFonts w:hint="default" w:cs="宋体" w:asciiTheme="minorEastAsia" w:hAnsiTheme="minorEastAsia" w:eastAsiaTheme="minorEastAsia"/>
                <w:kern w:val="0"/>
                <w:sz w:val="20"/>
                <w:szCs w:val="20"/>
              </w:rPr>
              <w:t>等功能模块授权，包含一年升级维保服务。</w:t>
            </w:r>
          </w:p>
        </w:tc>
        <w:tc>
          <w:tcPr>
            <w:tcW w:w="709" w:type="dxa"/>
            <w:vMerge w:val="restart"/>
            <w:tcBorders>
              <w:top w:val="nil"/>
              <w:left w:val="nil"/>
              <w:right w:val="single" w:color="auto" w:sz="4" w:space="0"/>
            </w:tcBorders>
            <w:vAlign w:val="center"/>
          </w:tcPr>
          <w:p w14:paraId="5A51DFF4">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r>
              <w:rPr>
                <w:rFonts w:hint="default" w:cs="宋体" w:asciiTheme="minorEastAsia" w:hAnsiTheme="minorEastAsia" w:eastAsiaTheme="minorEastAsia"/>
                <w:kern w:val="0"/>
                <w:sz w:val="20"/>
                <w:szCs w:val="20"/>
              </w:rPr>
              <w:t>个</w:t>
            </w:r>
          </w:p>
        </w:tc>
        <w:tc>
          <w:tcPr>
            <w:tcW w:w="850" w:type="dxa"/>
            <w:tcBorders>
              <w:top w:val="nil"/>
              <w:left w:val="nil"/>
              <w:right w:val="single" w:color="auto" w:sz="4" w:space="0"/>
            </w:tcBorders>
            <w:vAlign w:val="center"/>
          </w:tcPr>
          <w:p w14:paraId="3CA7668A">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200</w:t>
            </w:r>
          </w:p>
        </w:tc>
      </w:tr>
      <w:tr w14:paraId="06B98E83">
        <w:tblPrEx>
          <w:tblCellMar>
            <w:top w:w="0" w:type="dxa"/>
            <w:left w:w="108" w:type="dxa"/>
            <w:bottom w:w="0" w:type="dxa"/>
            <w:right w:w="108" w:type="dxa"/>
          </w:tblCellMar>
        </w:tblPrEx>
        <w:trPr>
          <w:trHeight w:val="1408" w:hRule="atLeast"/>
        </w:trPr>
        <w:tc>
          <w:tcPr>
            <w:tcW w:w="1135" w:type="dxa"/>
            <w:vMerge w:val="continue"/>
            <w:tcBorders>
              <w:left w:val="single" w:color="auto" w:sz="8" w:space="0"/>
              <w:right w:val="single" w:color="auto" w:sz="4" w:space="0"/>
            </w:tcBorders>
            <w:vAlign w:val="center"/>
          </w:tcPr>
          <w:p w14:paraId="7C5D4D25">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p>
        </w:tc>
        <w:tc>
          <w:tcPr>
            <w:tcW w:w="1024" w:type="dxa"/>
            <w:vMerge w:val="continue"/>
            <w:tcBorders>
              <w:left w:val="nil"/>
              <w:right w:val="single" w:color="auto" w:sz="4" w:space="0"/>
            </w:tcBorders>
            <w:vAlign w:val="center"/>
          </w:tcPr>
          <w:p w14:paraId="3E329B57">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p>
        </w:tc>
        <w:tc>
          <w:tcPr>
            <w:tcW w:w="1276" w:type="dxa"/>
            <w:vMerge w:val="continue"/>
            <w:tcBorders>
              <w:left w:val="nil"/>
              <w:right w:val="single" w:color="auto" w:sz="4" w:space="0"/>
            </w:tcBorders>
            <w:vAlign w:val="center"/>
          </w:tcPr>
          <w:p w14:paraId="676E1E76">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p>
        </w:tc>
        <w:tc>
          <w:tcPr>
            <w:tcW w:w="4961" w:type="dxa"/>
            <w:tcBorders>
              <w:top w:val="nil"/>
              <w:left w:val="nil"/>
              <w:bottom w:val="single" w:color="auto" w:sz="4" w:space="0"/>
              <w:right w:val="single" w:color="auto" w:sz="4" w:space="0"/>
            </w:tcBorders>
            <w:vAlign w:val="center"/>
          </w:tcPr>
          <w:p w14:paraId="2D6112F3">
            <w:pPr>
              <w:keepNext w:val="0"/>
              <w:keepLines w:val="0"/>
              <w:widowControl/>
              <w:suppressLineNumbers w:val="0"/>
              <w:spacing w:before="0" w:beforeAutospacing="0" w:after="0" w:afterAutospacing="0"/>
              <w:ind w:left="0" w:right="0"/>
              <w:jc w:val="left"/>
              <w:rPr>
                <w:rFonts w:hint="default"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▲2、 所投产品需支持以列表的形式，统一列出服务器基础信息，并在列表中对服务器的关键软硬件进行统计，包括但不限于：CPU数、CPU核数、硬盘空间数、分区数、关联进程数、账户数、软件应用数、web站点数、web服务数等；支持以列表的形式，统一列出离线服务器信息，并在列表中显示最近离线时间、不在线天数等信息。（提供产品功能截图，并加盖原厂公章）</w:t>
            </w:r>
          </w:p>
          <w:p w14:paraId="2A1ABC32">
            <w:pPr>
              <w:keepNext w:val="0"/>
              <w:keepLines w:val="0"/>
              <w:widowControl/>
              <w:suppressLineNumbers w:val="0"/>
              <w:spacing w:before="0" w:beforeAutospacing="0" w:after="0" w:afterAutospacing="0"/>
              <w:ind w:left="0" w:right="0"/>
              <w:jc w:val="left"/>
              <w:rPr>
                <w:rFonts w:hint="default"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3、能对主机上存在的URL资产进行梳理，支持通过设置url关键字、post关键字、手动添加URL的方式梳理识别出主机上的URL资产，（支持ARP、Ping、Nmap扫描方式，并支持离线流量分析），并自动获取服务器相关信息，包括MAC地址、设备类型、未知主机IP、操作系统、发现方式、首次发现时间等信息。（提供产品功能截图，并加盖原厂公章）</w:t>
            </w:r>
          </w:p>
          <w:p w14:paraId="4C94A98D">
            <w:pPr>
              <w:keepNext w:val="0"/>
              <w:keepLines w:val="0"/>
              <w:widowControl/>
              <w:suppressLineNumbers w:val="0"/>
              <w:spacing w:before="0" w:beforeAutospacing="0" w:after="0" w:afterAutospacing="0"/>
              <w:ind w:left="0" w:right="0"/>
              <w:jc w:val="left"/>
              <w:rPr>
                <w:rFonts w:hint="default"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4、支持RCE利用和告警详情，展示基础信息，检测说明、动态信息、进程树，支持RCE利用设置包含敏感命令、参数、规则名称、规则ID、规则描述。支持应用防护；包含SQLinject、XSS防护、自定义规则。支持SQL注入防护能力可自定义防护规则，支持通过插件的方式，工作于apache、Nginx和tomcat等web中间件内部，包含应用名，进程id，版本号，端口，进行路径，启动参数等信息。（提供产品功能截图，并加盖原厂公章）</w:t>
            </w:r>
          </w:p>
          <w:p w14:paraId="0CA46884">
            <w:pPr>
              <w:keepNext w:val="0"/>
              <w:keepLines w:val="0"/>
              <w:widowControl/>
              <w:suppressLineNumbers w:val="0"/>
              <w:spacing w:before="0" w:beforeAutospacing="0" w:after="0" w:afterAutospacing="0"/>
              <w:ind w:left="0" w:right="0"/>
              <w:jc w:val="left"/>
              <w:rPr>
                <w:rFonts w:hint="default"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5、支持主流的镜像仓库对接，包括但不限于以下主流镜像仓库：AlibabaACR、AwsECR、BaiduyunCCR、DockerHub、DockerRegistry、Harbor、HuaweiSWR、JFrogArtifactory、Quay和UCloud等。（提供产品功能截图，并加盖原厂公章）</w:t>
            </w:r>
          </w:p>
        </w:tc>
        <w:tc>
          <w:tcPr>
            <w:tcW w:w="709" w:type="dxa"/>
            <w:vMerge w:val="continue"/>
            <w:tcBorders>
              <w:left w:val="nil"/>
              <w:right w:val="single" w:color="auto" w:sz="4" w:space="0"/>
            </w:tcBorders>
            <w:vAlign w:val="center"/>
          </w:tcPr>
          <w:p w14:paraId="4D3D664F">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p>
        </w:tc>
        <w:tc>
          <w:tcPr>
            <w:tcW w:w="850" w:type="dxa"/>
            <w:tcBorders>
              <w:left w:val="nil"/>
              <w:right w:val="single" w:color="auto" w:sz="4" w:space="0"/>
            </w:tcBorders>
            <w:vAlign w:val="center"/>
          </w:tcPr>
          <w:p w14:paraId="68C41C44">
            <w:pPr>
              <w:keepNext w:val="0"/>
              <w:keepLines w:val="0"/>
              <w:widowControl/>
              <w:suppressLineNumbers w:val="0"/>
              <w:spacing w:before="0" w:beforeAutospacing="0" w:after="0" w:afterAutospacing="0"/>
              <w:ind w:left="0" w:right="0"/>
              <w:rPr>
                <w:rFonts w:hint="default" w:cs="宋体" w:asciiTheme="minorEastAsia" w:hAnsiTheme="minorEastAsia" w:eastAsiaTheme="minorEastAsia"/>
                <w:kern w:val="0"/>
                <w:sz w:val="20"/>
                <w:szCs w:val="20"/>
              </w:rPr>
            </w:pPr>
          </w:p>
        </w:tc>
      </w:tr>
      <w:tr w14:paraId="00F169E1">
        <w:tblPrEx>
          <w:tblCellMar>
            <w:top w:w="0" w:type="dxa"/>
            <w:left w:w="108" w:type="dxa"/>
            <w:bottom w:w="0" w:type="dxa"/>
            <w:right w:w="108" w:type="dxa"/>
          </w:tblCellMar>
        </w:tblPrEx>
        <w:trPr>
          <w:trHeight w:val="1391" w:hRule="atLeast"/>
        </w:trPr>
        <w:tc>
          <w:tcPr>
            <w:tcW w:w="1135" w:type="dxa"/>
            <w:vMerge w:val="continue"/>
            <w:tcBorders>
              <w:left w:val="single" w:color="auto" w:sz="8" w:space="0"/>
              <w:bottom w:val="single" w:color="auto" w:sz="4" w:space="0"/>
              <w:right w:val="single" w:color="auto" w:sz="4" w:space="0"/>
            </w:tcBorders>
            <w:vAlign w:val="center"/>
          </w:tcPr>
          <w:p w14:paraId="5F6ACEB4">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p>
        </w:tc>
        <w:tc>
          <w:tcPr>
            <w:tcW w:w="1024" w:type="dxa"/>
            <w:vMerge w:val="continue"/>
            <w:tcBorders>
              <w:left w:val="nil"/>
              <w:bottom w:val="nil"/>
              <w:right w:val="single" w:color="auto" w:sz="4" w:space="0"/>
            </w:tcBorders>
            <w:vAlign w:val="center"/>
          </w:tcPr>
          <w:p w14:paraId="4D380C46">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p>
        </w:tc>
        <w:tc>
          <w:tcPr>
            <w:tcW w:w="1276" w:type="dxa"/>
            <w:vMerge w:val="continue"/>
            <w:tcBorders>
              <w:left w:val="nil"/>
              <w:bottom w:val="nil"/>
              <w:right w:val="single" w:color="auto" w:sz="4" w:space="0"/>
            </w:tcBorders>
            <w:vAlign w:val="center"/>
          </w:tcPr>
          <w:p w14:paraId="7034D522">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p>
        </w:tc>
        <w:tc>
          <w:tcPr>
            <w:tcW w:w="4961" w:type="dxa"/>
            <w:tcBorders>
              <w:top w:val="nil"/>
              <w:left w:val="nil"/>
              <w:bottom w:val="single" w:color="auto" w:sz="4" w:space="0"/>
              <w:right w:val="single" w:color="auto" w:sz="4" w:space="0"/>
            </w:tcBorders>
            <w:vAlign w:val="center"/>
          </w:tcPr>
          <w:p w14:paraId="27DB2896">
            <w:pPr>
              <w:keepNext w:val="0"/>
              <w:keepLines w:val="0"/>
              <w:widowControl/>
              <w:suppressLineNumbers w:val="0"/>
              <w:spacing w:before="0" w:beforeAutospacing="0" w:after="0" w:afterAutospacing="0"/>
              <w:ind w:left="0" w:right="0"/>
              <w:jc w:val="left"/>
              <w:rPr>
                <w:rFonts w:hint="default"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w:t>
            </w:r>
            <w:r>
              <w:rPr>
                <w:rFonts w:hint="default" w:cs="宋体" w:asciiTheme="minorEastAsia" w:hAnsiTheme="minorEastAsia" w:eastAsiaTheme="minorEastAsia"/>
                <w:kern w:val="0"/>
                <w:sz w:val="20"/>
                <w:szCs w:val="20"/>
              </w:rPr>
              <w:t>6</w:t>
            </w:r>
            <w:r>
              <w:rPr>
                <w:rFonts w:hint="eastAsia" w:cs="宋体" w:asciiTheme="minorEastAsia" w:hAnsiTheme="minorEastAsia" w:eastAsiaTheme="minorEastAsia"/>
                <w:kern w:val="0"/>
                <w:sz w:val="20"/>
                <w:szCs w:val="20"/>
              </w:rPr>
              <w:t>、</w:t>
            </w:r>
            <w:r>
              <w:rPr>
                <w:rFonts w:hint="default" w:asciiTheme="minorEastAsia" w:hAnsiTheme="minorEastAsia" w:eastAsiaTheme="minorEastAsia"/>
                <w:sz w:val="20"/>
                <w:szCs w:val="20"/>
              </w:rPr>
              <w:t>为确保本次采购扩容设备为原厂正版产品，投标中标人须提供对应设备原厂出具的有效授权函。</w:t>
            </w:r>
          </w:p>
        </w:tc>
        <w:tc>
          <w:tcPr>
            <w:tcW w:w="709" w:type="dxa"/>
            <w:vMerge w:val="continue"/>
            <w:tcBorders>
              <w:left w:val="nil"/>
              <w:bottom w:val="single" w:color="auto" w:sz="4" w:space="0"/>
              <w:right w:val="single" w:color="auto" w:sz="4" w:space="0"/>
            </w:tcBorders>
            <w:vAlign w:val="center"/>
          </w:tcPr>
          <w:p w14:paraId="48CF6AA9">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p>
        </w:tc>
        <w:tc>
          <w:tcPr>
            <w:tcW w:w="850" w:type="dxa"/>
            <w:tcBorders>
              <w:left w:val="nil"/>
              <w:bottom w:val="single" w:color="auto" w:sz="4" w:space="0"/>
              <w:right w:val="single" w:color="auto" w:sz="4" w:space="0"/>
            </w:tcBorders>
            <w:vAlign w:val="center"/>
          </w:tcPr>
          <w:p w14:paraId="67384B54">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p>
        </w:tc>
      </w:tr>
      <w:tr w14:paraId="0D74BEDA">
        <w:tblPrEx>
          <w:tblCellMar>
            <w:top w:w="0" w:type="dxa"/>
            <w:left w:w="108" w:type="dxa"/>
            <w:bottom w:w="0" w:type="dxa"/>
            <w:right w:w="108" w:type="dxa"/>
          </w:tblCellMar>
        </w:tblPrEx>
        <w:trPr>
          <w:trHeight w:val="1770" w:hRule="atLeast"/>
        </w:trPr>
        <w:tc>
          <w:tcPr>
            <w:tcW w:w="1135" w:type="dxa"/>
            <w:tcBorders>
              <w:top w:val="nil"/>
              <w:left w:val="single" w:color="auto" w:sz="8" w:space="0"/>
              <w:bottom w:val="single" w:color="auto" w:sz="4" w:space="0"/>
              <w:right w:val="single" w:color="auto" w:sz="4" w:space="0"/>
            </w:tcBorders>
            <w:vAlign w:val="center"/>
          </w:tcPr>
          <w:p w14:paraId="47561DB8">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r>
              <w:rPr>
                <w:rFonts w:hint="default" w:cs="宋体" w:asciiTheme="minorEastAsia" w:hAnsiTheme="minorEastAsia" w:eastAsiaTheme="minorEastAsia"/>
                <w:kern w:val="0"/>
                <w:sz w:val="20"/>
                <w:szCs w:val="20"/>
              </w:rPr>
              <w:t>网神云锁服务器安全管理系统升级维保</w:t>
            </w:r>
          </w:p>
        </w:tc>
        <w:tc>
          <w:tcPr>
            <w:tcW w:w="1024" w:type="dxa"/>
            <w:tcBorders>
              <w:top w:val="single" w:color="auto" w:sz="4" w:space="0"/>
              <w:left w:val="nil"/>
              <w:bottom w:val="single" w:color="auto" w:sz="4" w:space="0"/>
              <w:right w:val="single" w:color="auto" w:sz="4" w:space="0"/>
            </w:tcBorders>
            <w:vAlign w:val="center"/>
          </w:tcPr>
          <w:p w14:paraId="60C527D7">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r>
              <w:rPr>
                <w:rFonts w:hint="default" w:cs="宋体" w:asciiTheme="minorEastAsia" w:hAnsiTheme="minorEastAsia" w:eastAsiaTheme="minorEastAsia"/>
                <w:kern w:val="0"/>
                <w:sz w:val="20"/>
                <w:szCs w:val="20"/>
              </w:rPr>
              <w:t>维保服务</w:t>
            </w:r>
          </w:p>
        </w:tc>
        <w:tc>
          <w:tcPr>
            <w:tcW w:w="1276" w:type="dxa"/>
            <w:tcBorders>
              <w:top w:val="single" w:color="auto" w:sz="4" w:space="0"/>
              <w:left w:val="nil"/>
              <w:bottom w:val="single" w:color="auto" w:sz="4" w:space="0"/>
              <w:right w:val="single" w:color="auto" w:sz="4" w:space="0"/>
            </w:tcBorders>
            <w:vAlign w:val="center"/>
          </w:tcPr>
          <w:p w14:paraId="2FBA0762">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奇安信网神云锁服务器安全管理系统V8.0</w:t>
            </w:r>
          </w:p>
        </w:tc>
        <w:tc>
          <w:tcPr>
            <w:tcW w:w="4961" w:type="dxa"/>
            <w:tcBorders>
              <w:top w:val="nil"/>
              <w:left w:val="nil"/>
              <w:bottom w:val="single" w:color="auto" w:sz="4" w:space="0"/>
              <w:right w:val="single" w:color="auto" w:sz="4" w:space="0"/>
            </w:tcBorders>
            <w:vAlign w:val="center"/>
          </w:tcPr>
          <w:p w14:paraId="68D951D5">
            <w:pPr>
              <w:keepNext w:val="0"/>
              <w:keepLines w:val="0"/>
              <w:widowControl/>
              <w:suppressLineNumbers w:val="0"/>
              <w:spacing w:before="0" w:beforeAutospacing="0" w:after="0" w:afterAutospacing="0"/>
              <w:ind w:left="0" w:right="0"/>
              <w:jc w:val="left"/>
              <w:rPr>
                <w:rFonts w:hint="default" w:cs="宋体" w:asciiTheme="minorEastAsia" w:hAnsiTheme="minorEastAsia" w:eastAsiaTheme="minorEastAsia"/>
                <w:kern w:val="0"/>
                <w:sz w:val="20"/>
                <w:szCs w:val="20"/>
              </w:rPr>
            </w:pPr>
            <w:r>
              <w:rPr>
                <w:rFonts w:hint="default" w:cs="宋体" w:asciiTheme="minorEastAsia" w:hAnsiTheme="minorEastAsia" w:eastAsiaTheme="minorEastAsia"/>
                <w:kern w:val="0"/>
                <w:sz w:val="20"/>
                <w:szCs w:val="20"/>
              </w:rPr>
              <w:t>一年软件升级维保服务，含：</w:t>
            </w:r>
            <w:r>
              <w:rPr>
                <w:rFonts w:hint="default" w:cs="宋体" w:asciiTheme="minorEastAsia" w:hAnsiTheme="minorEastAsia" w:eastAsiaTheme="minorEastAsia"/>
                <w:kern w:val="0"/>
                <w:sz w:val="20"/>
                <w:szCs w:val="20"/>
              </w:rPr>
              <w:br w:type="textWrapping"/>
            </w:r>
            <w:r>
              <w:rPr>
                <w:rFonts w:hint="default" w:cs="宋体" w:asciiTheme="minorEastAsia" w:hAnsiTheme="minorEastAsia" w:eastAsiaTheme="minorEastAsia"/>
                <w:kern w:val="0"/>
                <w:sz w:val="20"/>
                <w:szCs w:val="20"/>
              </w:rPr>
              <w:t>1.硬件故障远程定位和支持工作，保换、保修服务</w:t>
            </w:r>
            <w:r>
              <w:rPr>
                <w:rFonts w:hint="default" w:cs="宋体" w:asciiTheme="minorEastAsia" w:hAnsiTheme="minorEastAsia" w:eastAsiaTheme="minorEastAsia"/>
                <w:kern w:val="0"/>
                <w:sz w:val="20"/>
                <w:szCs w:val="20"/>
              </w:rPr>
              <w:br w:type="textWrapping"/>
            </w:r>
            <w:r>
              <w:rPr>
                <w:rFonts w:hint="default" w:cs="宋体" w:asciiTheme="minorEastAsia" w:hAnsiTheme="minorEastAsia" w:eastAsiaTheme="minorEastAsia"/>
                <w:kern w:val="0"/>
                <w:sz w:val="20"/>
                <w:szCs w:val="20"/>
              </w:rPr>
              <w:t>2.热线技术服务</w:t>
            </w:r>
            <w:r>
              <w:rPr>
                <w:rFonts w:hint="default" w:cs="宋体" w:asciiTheme="minorEastAsia" w:hAnsiTheme="minorEastAsia" w:eastAsiaTheme="minorEastAsia"/>
                <w:kern w:val="0"/>
                <w:sz w:val="20"/>
                <w:szCs w:val="20"/>
              </w:rPr>
              <w:br w:type="textWrapping"/>
            </w:r>
            <w:r>
              <w:rPr>
                <w:rFonts w:hint="default" w:cs="宋体" w:asciiTheme="minorEastAsia" w:hAnsiTheme="minorEastAsia" w:eastAsiaTheme="minorEastAsia"/>
                <w:kern w:val="0"/>
                <w:sz w:val="20"/>
                <w:szCs w:val="20"/>
              </w:rPr>
              <w:t>3.同代软件版本升级服务</w:t>
            </w:r>
          </w:p>
        </w:tc>
        <w:tc>
          <w:tcPr>
            <w:tcW w:w="709" w:type="dxa"/>
            <w:tcBorders>
              <w:top w:val="nil"/>
              <w:left w:val="nil"/>
              <w:bottom w:val="single" w:color="auto" w:sz="4" w:space="0"/>
              <w:right w:val="single" w:color="auto" w:sz="4" w:space="0"/>
            </w:tcBorders>
            <w:vAlign w:val="center"/>
          </w:tcPr>
          <w:p w14:paraId="47083061">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r>
              <w:rPr>
                <w:rFonts w:hint="default" w:cs="宋体" w:asciiTheme="minorEastAsia" w:hAnsiTheme="minorEastAsia" w:eastAsiaTheme="minorEastAsia"/>
                <w:kern w:val="0"/>
                <w:sz w:val="20"/>
                <w:szCs w:val="20"/>
              </w:rPr>
              <w:t>个</w:t>
            </w:r>
          </w:p>
        </w:tc>
        <w:tc>
          <w:tcPr>
            <w:tcW w:w="850" w:type="dxa"/>
            <w:tcBorders>
              <w:top w:val="nil"/>
              <w:left w:val="nil"/>
              <w:bottom w:val="single" w:color="auto" w:sz="4" w:space="0"/>
              <w:right w:val="single" w:color="auto" w:sz="4" w:space="0"/>
            </w:tcBorders>
            <w:vAlign w:val="center"/>
          </w:tcPr>
          <w:p w14:paraId="68D409C4">
            <w:pPr>
              <w:keepNext w:val="0"/>
              <w:keepLines w:val="0"/>
              <w:widowControl/>
              <w:suppressLineNumbers w:val="0"/>
              <w:spacing w:before="0" w:beforeAutospacing="0" w:after="0" w:afterAutospacing="0"/>
              <w:ind w:left="0" w:right="0"/>
              <w:jc w:val="center"/>
              <w:rPr>
                <w:rFonts w:hint="default"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700</w:t>
            </w:r>
          </w:p>
        </w:tc>
      </w:tr>
    </w:tbl>
    <w:p w14:paraId="26E20297">
      <w:pPr>
        <w:widowControl/>
        <w:jc w:val="left"/>
        <w:rPr>
          <w:rFonts w:asciiTheme="minorEastAsia" w:hAnsiTheme="minorEastAsia" w:eastAsiaTheme="minorEastAsia"/>
          <w:b/>
          <w:bCs/>
          <w:color w:val="000000"/>
          <w:kern w:val="0"/>
          <w:sz w:val="18"/>
          <w:szCs w:val="18"/>
        </w:rPr>
      </w:pPr>
    </w:p>
    <w:p w14:paraId="43D39D07">
      <w:pPr>
        <w:widowControl/>
        <w:spacing w:line="240" w:lineRule="atLeast"/>
        <w:rPr>
          <w:rFonts w:asciiTheme="minorEastAsia" w:hAnsiTheme="minorEastAsia" w:eastAsiaTheme="minorEastAsia" w:cstheme="majorEastAsia"/>
          <w:b/>
          <w:bCs/>
          <w:color w:val="000000"/>
          <w:kern w:val="0"/>
          <w:sz w:val="28"/>
          <w:szCs w:val="28"/>
        </w:rPr>
      </w:pPr>
      <w:r>
        <w:rPr>
          <w:rFonts w:hint="eastAsia" w:asciiTheme="minorEastAsia" w:hAnsiTheme="minorEastAsia" w:eastAsiaTheme="minorEastAsia" w:cstheme="majorEastAsia"/>
          <w:b/>
          <w:bCs/>
          <w:color w:val="000000"/>
          <w:kern w:val="0"/>
          <w:sz w:val="28"/>
          <w:szCs w:val="28"/>
        </w:rPr>
        <w:t>二、商务要求</w:t>
      </w:r>
    </w:p>
    <w:tbl>
      <w:tblPr>
        <w:tblStyle w:val="1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1878"/>
        <w:gridCol w:w="6515"/>
      </w:tblGrid>
      <w:tr w14:paraId="4B073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354" w:type="pct"/>
            <w:tcBorders>
              <w:top w:val="single" w:color="auto" w:sz="4" w:space="0"/>
              <w:left w:val="single" w:color="auto" w:sz="4" w:space="0"/>
              <w:bottom w:val="single" w:color="auto" w:sz="4" w:space="0"/>
              <w:right w:val="single" w:color="auto" w:sz="4" w:space="0"/>
            </w:tcBorders>
            <w:vAlign w:val="center"/>
          </w:tcPr>
          <w:p w14:paraId="4105274B">
            <w:pPr>
              <w:keepNext w:val="0"/>
              <w:keepLines w:val="0"/>
              <w:suppressLineNumbers w:val="0"/>
              <w:spacing w:before="0" w:beforeAutospacing="0" w:after="0" w:afterAutospacing="0"/>
              <w:ind w:left="0" w:right="0"/>
              <w:jc w:val="center"/>
              <w:rPr>
                <w:rFonts w:hint="default" w:asciiTheme="minorEastAsia" w:hAnsiTheme="minorEastAsia" w:eastAsiaTheme="minorEastAsia"/>
                <w:b/>
              </w:rPr>
            </w:pPr>
            <w:r>
              <w:rPr>
                <w:rFonts w:hint="default" w:asciiTheme="minorEastAsia" w:hAnsiTheme="minorEastAsia" w:eastAsiaTheme="minorEastAsia"/>
                <w:b/>
              </w:rPr>
              <w:t>1</w:t>
            </w:r>
          </w:p>
        </w:tc>
        <w:tc>
          <w:tcPr>
            <w:tcW w:w="1039" w:type="pct"/>
            <w:tcBorders>
              <w:top w:val="single" w:color="auto" w:sz="4" w:space="0"/>
              <w:left w:val="single" w:color="auto" w:sz="4" w:space="0"/>
              <w:bottom w:val="single" w:color="auto" w:sz="4" w:space="0"/>
              <w:right w:val="single" w:color="auto" w:sz="4" w:space="0"/>
            </w:tcBorders>
            <w:vAlign w:val="center"/>
          </w:tcPr>
          <w:p w14:paraId="20B1F9B2">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rPr>
            </w:pPr>
            <w:r>
              <w:rPr>
                <w:rFonts w:hint="eastAsia" w:asciiTheme="minorEastAsia" w:hAnsiTheme="minorEastAsia" w:eastAsiaTheme="minorEastAsia"/>
                <w:szCs w:val="21"/>
              </w:rPr>
              <w:t>关于</w:t>
            </w:r>
            <w:r>
              <w:rPr>
                <w:rFonts w:hint="eastAsia" w:asciiTheme="minorEastAsia" w:hAnsiTheme="minorEastAsia" w:eastAsiaTheme="minorEastAsia"/>
                <w:szCs w:val="21"/>
                <w:lang w:val="zh-CN"/>
              </w:rPr>
              <w:t>产品维保</w:t>
            </w:r>
          </w:p>
        </w:tc>
        <w:tc>
          <w:tcPr>
            <w:tcW w:w="3605" w:type="pct"/>
            <w:tcBorders>
              <w:top w:val="single" w:color="auto" w:sz="4" w:space="0"/>
              <w:left w:val="single" w:color="auto" w:sz="4" w:space="0"/>
              <w:bottom w:val="single" w:color="auto" w:sz="4" w:space="0"/>
              <w:right w:val="single" w:color="auto" w:sz="4" w:space="0"/>
            </w:tcBorders>
            <w:vAlign w:val="center"/>
          </w:tcPr>
          <w:p w14:paraId="61B8571E">
            <w:pPr>
              <w:keepNext w:val="0"/>
              <w:keepLines w:val="0"/>
              <w:suppressLineNumbers w:val="0"/>
              <w:spacing w:before="0" w:beforeAutospacing="0" w:after="0" w:afterAutospacing="0"/>
              <w:ind w:left="0" w:right="0"/>
              <w:rPr>
                <w:rFonts w:hint="default" w:asciiTheme="minorEastAsia" w:hAnsiTheme="minorEastAsia" w:eastAsiaTheme="minorEastAsia"/>
                <w:woUserID w:val="1"/>
              </w:rPr>
            </w:pPr>
            <w:r>
              <w:rPr>
                <w:rFonts w:hint="default" w:asciiTheme="minorEastAsia" w:hAnsiTheme="minorEastAsia" w:eastAsiaTheme="minorEastAsia"/>
                <w:woUserID w:val="1"/>
              </w:rPr>
              <w:t>1.</w:t>
            </w:r>
            <w:r>
              <w:rPr>
                <w:rFonts w:hint="default" w:asciiTheme="minorEastAsia" w:hAnsiTheme="minorEastAsia" w:eastAsiaTheme="minorEastAsia"/>
              </w:rPr>
              <w:t>自</w:t>
            </w:r>
            <w:r>
              <w:rPr>
                <w:rFonts w:hint="default" w:asciiTheme="minorEastAsia" w:hAnsiTheme="minorEastAsia" w:eastAsiaTheme="minorEastAsia"/>
                <w:woUserID w:val="1"/>
              </w:rPr>
              <w:t>合同签订</w:t>
            </w:r>
            <w:r>
              <w:rPr>
                <w:rFonts w:hint="default" w:asciiTheme="minorEastAsia" w:hAnsiTheme="minorEastAsia" w:eastAsiaTheme="minorEastAsia"/>
              </w:rPr>
              <w:t>之日起算</w:t>
            </w:r>
            <w:r>
              <w:rPr>
                <w:rFonts w:hint="default" w:asciiTheme="minorEastAsia" w:hAnsiTheme="minorEastAsia" w:eastAsiaTheme="minorEastAsia"/>
                <w:woUserID w:val="1"/>
              </w:rPr>
              <w:t>，合同服务期限为1年</w:t>
            </w:r>
            <w:r>
              <w:rPr>
                <w:rFonts w:hint="default" w:asciiTheme="minorEastAsia" w:hAnsiTheme="minorEastAsia" w:eastAsiaTheme="minorEastAsia"/>
              </w:rPr>
              <w:t>。</w:t>
            </w:r>
          </w:p>
          <w:p w14:paraId="5598FE91">
            <w:pPr>
              <w:keepNext w:val="0"/>
              <w:keepLines w:val="0"/>
              <w:suppressLineNumbers w:val="0"/>
              <w:spacing w:before="0" w:beforeAutospacing="0" w:after="0" w:afterAutospacing="0"/>
              <w:ind w:left="0" w:right="0"/>
              <w:rPr>
                <w:rFonts w:hint="default" w:asciiTheme="minorEastAsia" w:hAnsiTheme="minorEastAsia" w:eastAsiaTheme="minorEastAsia"/>
              </w:rPr>
            </w:pPr>
            <w:r>
              <w:rPr>
                <w:rFonts w:hint="default" w:asciiTheme="minorEastAsia" w:hAnsiTheme="minorEastAsia" w:eastAsiaTheme="minorEastAsia"/>
                <w:woUserID w:val="1"/>
              </w:rPr>
              <w:t>2.</w:t>
            </w:r>
            <w:r>
              <w:rPr>
                <w:rFonts w:hint="eastAsia" w:asciiTheme="minorEastAsia" w:hAnsiTheme="minorEastAsia" w:eastAsiaTheme="minorEastAsia"/>
              </w:rPr>
              <w:t>要求提供的厂家正式授权，并提供生产商家售后服务承诺函。</w:t>
            </w:r>
          </w:p>
        </w:tc>
      </w:tr>
      <w:tr w14:paraId="5CA9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54" w:type="pct"/>
            <w:tcBorders>
              <w:top w:val="single" w:color="auto" w:sz="4" w:space="0"/>
              <w:left w:val="single" w:color="auto" w:sz="4" w:space="0"/>
              <w:bottom w:val="single" w:color="auto" w:sz="4" w:space="0"/>
              <w:right w:val="single" w:color="auto" w:sz="4" w:space="0"/>
            </w:tcBorders>
            <w:vAlign w:val="center"/>
          </w:tcPr>
          <w:p w14:paraId="25AED6A2">
            <w:pPr>
              <w:keepNext w:val="0"/>
              <w:keepLines w:val="0"/>
              <w:suppressLineNumbers w:val="0"/>
              <w:spacing w:before="0" w:beforeAutospacing="0" w:after="0" w:afterAutospacing="0"/>
              <w:ind w:left="0" w:right="0"/>
              <w:jc w:val="center"/>
              <w:rPr>
                <w:rFonts w:hint="default" w:asciiTheme="minorEastAsia" w:hAnsiTheme="minorEastAsia" w:eastAsiaTheme="minorEastAsia"/>
                <w:b/>
              </w:rPr>
            </w:pPr>
            <w:r>
              <w:rPr>
                <w:rFonts w:hint="default" w:asciiTheme="minorEastAsia" w:hAnsiTheme="minorEastAsia" w:eastAsiaTheme="minorEastAsia"/>
                <w:b/>
              </w:rPr>
              <w:t>2</w:t>
            </w:r>
          </w:p>
        </w:tc>
        <w:tc>
          <w:tcPr>
            <w:tcW w:w="1039" w:type="pct"/>
            <w:tcBorders>
              <w:top w:val="single" w:color="auto" w:sz="4" w:space="0"/>
              <w:left w:val="single" w:color="auto" w:sz="4" w:space="0"/>
              <w:bottom w:val="single" w:color="auto" w:sz="4" w:space="0"/>
              <w:right w:val="single" w:color="auto" w:sz="4" w:space="0"/>
            </w:tcBorders>
            <w:vAlign w:val="center"/>
          </w:tcPr>
          <w:p w14:paraId="119013C2">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rPr>
            </w:pPr>
            <w:r>
              <w:rPr>
                <w:rFonts w:hint="default" w:asciiTheme="minorEastAsia" w:hAnsiTheme="minorEastAsia" w:eastAsiaTheme="minorEastAsia"/>
                <w:szCs w:val="21"/>
              </w:rPr>
              <w:t>关于</w:t>
            </w:r>
            <w:r>
              <w:rPr>
                <w:rFonts w:hint="eastAsia" w:asciiTheme="minorEastAsia" w:hAnsiTheme="minorEastAsia" w:eastAsiaTheme="minorEastAsia"/>
                <w:szCs w:val="21"/>
              </w:rPr>
              <w:t>服务交付和验收</w:t>
            </w:r>
          </w:p>
        </w:tc>
        <w:tc>
          <w:tcPr>
            <w:tcW w:w="3605" w:type="pct"/>
            <w:tcBorders>
              <w:top w:val="single" w:color="auto" w:sz="4" w:space="0"/>
              <w:left w:val="single" w:color="auto" w:sz="4" w:space="0"/>
              <w:bottom w:val="single" w:color="auto" w:sz="4" w:space="0"/>
              <w:right w:val="single" w:color="auto" w:sz="4" w:space="0"/>
            </w:tcBorders>
            <w:vAlign w:val="center"/>
          </w:tcPr>
          <w:p w14:paraId="4F508A8A">
            <w:pPr>
              <w:keepNext w:val="0"/>
              <w:keepLines w:val="0"/>
              <w:suppressLineNumbers w:val="0"/>
              <w:spacing w:before="0" w:beforeAutospacing="0" w:after="0" w:afterAutospacing="0"/>
              <w:ind w:left="0" w:right="0"/>
              <w:rPr>
                <w:rFonts w:hint="default" w:asciiTheme="minorEastAsia" w:hAnsiTheme="minorEastAsia" w:eastAsiaTheme="minorEastAsia"/>
              </w:rPr>
            </w:pPr>
            <w:r>
              <w:rPr>
                <w:rFonts w:hint="eastAsia" w:asciiTheme="minorEastAsia" w:hAnsiTheme="minorEastAsia" w:eastAsiaTheme="minorEastAsia"/>
              </w:rPr>
              <w:t>1.</w:t>
            </w:r>
            <w:r>
              <w:rPr>
                <w:rFonts w:hint="default" w:asciiTheme="minorEastAsia" w:hAnsiTheme="minorEastAsia" w:eastAsiaTheme="minorEastAsia"/>
              </w:rPr>
              <w:t>中标人负责产品</w:t>
            </w:r>
            <w:r>
              <w:rPr>
                <w:rFonts w:hint="eastAsia" w:asciiTheme="minorEastAsia" w:hAnsiTheme="minorEastAsia" w:eastAsiaTheme="minorEastAsia"/>
              </w:rPr>
              <w:t>授权更新</w:t>
            </w:r>
            <w:r>
              <w:rPr>
                <w:rFonts w:hint="default" w:asciiTheme="minorEastAsia" w:hAnsiTheme="minorEastAsia" w:eastAsiaTheme="minorEastAsia"/>
              </w:rPr>
              <w:t>。</w:t>
            </w:r>
          </w:p>
          <w:p w14:paraId="3B4D04EB">
            <w:pPr>
              <w:keepNext w:val="0"/>
              <w:keepLines w:val="0"/>
              <w:suppressLineNumbers w:val="0"/>
              <w:spacing w:before="0" w:beforeAutospacing="0" w:after="0" w:afterAutospacing="0"/>
              <w:ind w:left="0" w:right="0"/>
              <w:rPr>
                <w:rFonts w:hint="default" w:asciiTheme="minorEastAsia" w:hAnsiTheme="minorEastAsia" w:eastAsiaTheme="minorEastAsia"/>
              </w:rPr>
            </w:pPr>
            <w:r>
              <w:rPr>
                <w:rFonts w:hint="eastAsia" w:asciiTheme="minorEastAsia" w:hAnsiTheme="minorEastAsia" w:eastAsiaTheme="minorEastAsia"/>
              </w:rPr>
              <w:t>2.</w:t>
            </w:r>
            <w:r>
              <w:rPr>
                <w:rFonts w:hint="default" w:asciiTheme="minorEastAsia" w:hAnsiTheme="minorEastAsia" w:eastAsiaTheme="minorEastAsia"/>
              </w:rPr>
              <w:t>中标人</w:t>
            </w:r>
            <w:r>
              <w:rPr>
                <w:rFonts w:hint="eastAsia" w:asciiTheme="minorEastAsia" w:hAnsiTheme="minorEastAsia" w:eastAsiaTheme="minorEastAsia"/>
              </w:rPr>
              <w:t>负责服务期内技术支持。</w:t>
            </w:r>
            <w:r>
              <w:rPr>
                <w:rFonts w:hint="default" w:asciiTheme="minorEastAsia" w:hAnsiTheme="minorEastAsia" w:eastAsiaTheme="minorEastAsia"/>
              </w:rPr>
              <w:t>。</w:t>
            </w:r>
          </w:p>
        </w:tc>
      </w:tr>
      <w:tr w14:paraId="3E24E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54" w:type="pct"/>
            <w:tcBorders>
              <w:top w:val="single" w:color="auto" w:sz="4" w:space="0"/>
              <w:left w:val="single" w:color="auto" w:sz="4" w:space="0"/>
              <w:bottom w:val="single" w:color="auto" w:sz="4" w:space="0"/>
              <w:right w:val="single" w:color="auto" w:sz="4" w:space="0"/>
            </w:tcBorders>
            <w:vAlign w:val="center"/>
          </w:tcPr>
          <w:p w14:paraId="68A3C84A">
            <w:pPr>
              <w:keepNext w:val="0"/>
              <w:keepLines w:val="0"/>
              <w:suppressLineNumbers w:val="0"/>
              <w:spacing w:before="0" w:beforeAutospacing="0" w:after="0" w:afterAutospacing="0"/>
              <w:ind w:left="0" w:right="0"/>
              <w:jc w:val="center"/>
              <w:rPr>
                <w:rFonts w:hint="default" w:asciiTheme="minorEastAsia" w:hAnsiTheme="minorEastAsia" w:eastAsiaTheme="minorEastAsia"/>
                <w:b/>
              </w:rPr>
            </w:pPr>
            <w:r>
              <w:rPr>
                <w:rFonts w:hint="eastAsia" w:asciiTheme="minorEastAsia" w:hAnsiTheme="minorEastAsia" w:eastAsiaTheme="minorEastAsia"/>
                <w:b/>
              </w:rPr>
              <w:t>3</w:t>
            </w:r>
          </w:p>
        </w:tc>
        <w:tc>
          <w:tcPr>
            <w:tcW w:w="1039" w:type="pct"/>
            <w:tcBorders>
              <w:top w:val="single" w:color="auto" w:sz="4" w:space="0"/>
              <w:left w:val="single" w:color="auto" w:sz="4" w:space="0"/>
              <w:bottom w:val="single" w:color="auto" w:sz="4" w:space="0"/>
              <w:right w:val="single" w:color="auto" w:sz="4" w:space="0"/>
            </w:tcBorders>
            <w:vAlign w:val="center"/>
          </w:tcPr>
          <w:p w14:paraId="6B44D693">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szCs w:val="21"/>
              </w:rPr>
            </w:pPr>
            <w:r>
              <w:rPr>
                <w:rFonts w:hint="eastAsia" w:asciiTheme="minorEastAsia" w:hAnsiTheme="minorEastAsia" w:eastAsiaTheme="minorEastAsia"/>
                <w:szCs w:val="21"/>
              </w:rPr>
              <w:t>巡检服务</w:t>
            </w:r>
          </w:p>
        </w:tc>
        <w:tc>
          <w:tcPr>
            <w:tcW w:w="3605" w:type="pct"/>
            <w:tcBorders>
              <w:top w:val="single" w:color="auto" w:sz="4" w:space="0"/>
              <w:left w:val="single" w:color="auto" w:sz="4" w:space="0"/>
              <w:bottom w:val="single" w:color="auto" w:sz="4" w:space="0"/>
              <w:right w:val="single" w:color="auto" w:sz="4" w:space="0"/>
            </w:tcBorders>
            <w:vAlign w:val="center"/>
          </w:tcPr>
          <w:p w14:paraId="7A6817CD">
            <w:pPr>
              <w:keepNext w:val="0"/>
              <w:keepLines w:val="0"/>
              <w:suppressLineNumbers w:val="0"/>
              <w:spacing w:before="0" w:beforeAutospacing="0" w:after="0" w:afterAutospacing="0"/>
              <w:ind w:left="0" w:right="0"/>
              <w:rPr>
                <w:rFonts w:hint="default" w:asciiTheme="minorEastAsia" w:hAnsiTheme="minorEastAsia" w:eastAsiaTheme="minorEastAsia"/>
              </w:rPr>
            </w:pPr>
            <w:r>
              <w:rPr>
                <w:rFonts w:hint="eastAsia" w:asciiTheme="minorEastAsia" w:hAnsiTheme="minorEastAsia" w:eastAsiaTheme="minorEastAsia"/>
              </w:rPr>
              <w:t>1.</w:t>
            </w:r>
            <w:r>
              <w:rPr>
                <w:rFonts w:hint="default" w:asciiTheme="minorEastAsia" w:hAnsiTheme="minorEastAsia" w:eastAsiaTheme="minorEastAsia"/>
              </w:rPr>
              <w:t>中标人</w:t>
            </w:r>
            <w:r>
              <w:rPr>
                <w:rFonts w:hint="eastAsia" w:asciiTheme="minorEastAsia" w:hAnsiTheme="minorEastAsia" w:eastAsiaTheme="minorEastAsia"/>
              </w:rPr>
              <w:t>提供项目产品的季度巡检服务，本期项目不少于出具4份季度巡检报告</w:t>
            </w:r>
            <w:r>
              <w:rPr>
                <w:rFonts w:hint="default" w:asciiTheme="minorEastAsia" w:hAnsiTheme="minorEastAsia" w:eastAsiaTheme="minorEastAsia"/>
                <w:woUserID w:val="1"/>
              </w:rPr>
              <w:t>。</w:t>
            </w:r>
          </w:p>
        </w:tc>
      </w:tr>
      <w:tr w14:paraId="6C8B5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354" w:type="pct"/>
            <w:tcBorders>
              <w:top w:val="single" w:color="auto" w:sz="4" w:space="0"/>
              <w:left w:val="single" w:color="auto" w:sz="4" w:space="0"/>
              <w:bottom w:val="single" w:color="auto" w:sz="4" w:space="0"/>
              <w:right w:val="single" w:color="auto" w:sz="4" w:space="0"/>
            </w:tcBorders>
            <w:vAlign w:val="center"/>
          </w:tcPr>
          <w:p w14:paraId="690E8910">
            <w:pPr>
              <w:keepNext w:val="0"/>
              <w:keepLines w:val="0"/>
              <w:suppressLineNumbers w:val="0"/>
              <w:spacing w:before="0" w:beforeAutospacing="0" w:after="0" w:afterAutospacing="0"/>
              <w:ind w:left="0" w:right="0"/>
              <w:jc w:val="center"/>
              <w:rPr>
                <w:rFonts w:hint="default" w:asciiTheme="minorEastAsia" w:hAnsiTheme="minorEastAsia" w:eastAsiaTheme="minorEastAsia"/>
                <w:b/>
              </w:rPr>
            </w:pPr>
            <w:r>
              <w:rPr>
                <w:rFonts w:hint="eastAsia" w:asciiTheme="minorEastAsia" w:hAnsiTheme="minorEastAsia" w:eastAsiaTheme="minorEastAsia"/>
                <w:b/>
              </w:rPr>
              <w:t>4</w:t>
            </w:r>
          </w:p>
        </w:tc>
        <w:tc>
          <w:tcPr>
            <w:tcW w:w="1039" w:type="pct"/>
            <w:tcBorders>
              <w:top w:val="single" w:color="auto" w:sz="4" w:space="0"/>
              <w:left w:val="single" w:color="auto" w:sz="4" w:space="0"/>
              <w:bottom w:val="single" w:color="auto" w:sz="4" w:space="0"/>
              <w:right w:val="single" w:color="auto" w:sz="4" w:space="0"/>
            </w:tcBorders>
            <w:vAlign w:val="center"/>
          </w:tcPr>
          <w:p w14:paraId="4543C9C3">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rPr>
            </w:pPr>
            <w:r>
              <w:rPr>
                <w:rFonts w:hint="eastAsia" w:asciiTheme="minorEastAsia" w:hAnsiTheme="minorEastAsia" w:eastAsiaTheme="minorEastAsia"/>
                <w:szCs w:val="21"/>
              </w:rPr>
              <w:t>安全保密</w:t>
            </w:r>
          </w:p>
        </w:tc>
        <w:tc>
          <w:tcPr>
            <w:tcW w:w="3605" w:type="pct"/>
            <w:tcBorders>
              <w:top w:val="single" w:color="auto" w:sz="4" w:space="0"/>
              <w:left w:val="single" w:color="auto" w:sz="4" w:space="0"/>
              <w:bottom w:val="single" w:color="auto" w:sz="4" w:space="0"/>
              <w:right w:val="single" w:color="auto" w:sz="4" w:space="0"/>
            </w:tcBorders>
            <w:vAlign w:val="center"/>
          </w:tcPr>
          <w:p w14:paraId="0F9673B2">
            <w:pPr>
              <w:keepNext w:val="0"/>
              <w:keepLines w:val="0"/>
              <w:suppressLineNumbers w:val="0"/>
              <w:spacing w:before="0" w:beforeAutospacing="0" w:after="0" w:afterAutospacing="0"/>
              <w:ind w:left="0" w:right="0"/>
              <w:rPr>
                <w:rFonts w:hint="default" w:asciiTheme="minorEastAsia" w:hAnsiTheme="minorEastAsia" w:eastAsiaTheme="minorEastAsia"/>
              </w:rPr>
            </w:pPr>
            <w:r>
              <w:rPr>
                <w:rFonts w:hint="default" w:asciiTheme="minorEastAsia" w:hAnsiTheme="minorEastAsia" w:eastAsiaTheme="minorEastAsia"/>
              </w:rPr>
              <w:t>中标人</w:t>
            </w:r>
            <w:r>
              <w:rPr>
                <w:rFonts w:hint="eastAsia" w:asciiTheme="minorEastAsia" w:hAnsiTheme="minorEastAsia" w:eastAsiaTheme="minorEastAsia"/>
              </w:rPr>
              <w:t>应承诺</w:t>
            </w:r>
            <w:r>
              <w:rPr>
                <w:rFonts w:hint="default" w:asciiTheme="minorEastAsia" w:hAnsiTheme="minorEastAsia" w:eastAsiaTheme="minorEastAsia"/>
              </w:rPr>
              <w:t>在</w:t>
            </w:r>
            <w:r>
              <w:rPr>
                <w:rFonts w:hint="eastAsia" w:asciiTheme="minorEastAsia" w:hAnsiTheme="minorEastAsia" w:eastAsiaTheme="minorEastAsia"/>
              </w:rPr>
              <w:t>产品</w:t>
            </w:r>
            <w:r>
              <w:rPr>
                <w:rFonts w:hint="default" w:asciiTheme="minorEastAsia" w:hAnsiTheme="minorEastAsia" w:eastAsiaTheme="minorEastAsia"/>
              </w:rPr>
              <w:t>调试、售后服务过程中</w:t>
            </w:r>
            <w:r>
              <w:rPr>
                <w:rFonts w:hint="eastAsia" w:asciiTheme="minorEastAsia" w:hAnsiTheme="minorEastAsia" w:eastAsiaTheme="minorEastAsia"/>
              </w:rPr>
              <w:t>所接触各类文档信息的安全保密措施，一旦发现泄密事件，需按照国家法律法规承担相应责任。</w:t>
            </w:r>
            <w:r>
              <w:rPr>
                <w:rFonts w:hint="default" w:asciiTheme="minorEastAsia" w:hAnsiTheme="minorEastAsia" w:eastAsiaTheme="minorEastAsia"/>
                <w:lang w:val="zh-CN"/>
              </w:rPr>
              <w:t xml:space="preserve"> </w:t>
            </w:r>
            <w:r>
              <w:rPr>
                <w:rFonts w:hint="eastAsia" w:asciiTheme="minorEastAsia" w:hAnsiTheme="minorEastAsia" w:eastAsiaTheme="minorEastAsia"/>
                <w:lang w:val="zh-CN"/>
              </w:rPr>
              <w:t>（</w:t>
            </w:r>
            <w:r>
              <w:rPr>
                <w:rFonts w:hint="eastAsia" w:asciiTheme="minorEastAsia" w:hAnsiTheme="minorEastAsia" w:eastAsiaTheme="minorEastAsia"/>
              </w:rPr>
              <w:t>要求提供承诺函</w:t>
            </w:r>
            <w:r>
              <w:rPr>
                <w:rFonts w:hint="eastAsia" w:asciiTheme="minorEastAsia" w:hAnsiTheme="minorEastAsia" w:eastAsiaTheme="minorEastAsia"/>
                <w:lang w:val="zh-CN"/>
              </w:rPr>
              <w:t>）</w:t>
            </w:r>
          </w:p>
        </w:tc>
      </w:tr>
      <w:tr w14:paraId="5F4E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354" w:type="pct"/>
            <w:tcBorders>
              <w:top w:val="single" w:color="auto" w:sz="4" w:space="0"/>
              <w:left w:val="single" w:color="auto" w:sz="4" w:space="0"/>
              <w:bottom w:val="single" w:color="auto" w:sz="4" w:space="0"/>
              <w:right w:val="single" w:color="auto" w:sz="4" w:space="0"/>
            </w:tcBorders>
            <w:vAlign w:val="center"/>
          </w:tcPr>
          <w:p w14:paraId="323D29F5">
            <w:pPr>
              <w:keepNext w:val="0"/>
              <w:keepLines w:val="0"/>
              <w:suppressLineNumbers w:val="0"/>
              <w:spacing w:before="0" w:beforeAutospacing="0" w:after="0" w:afterAutospacing="0"/>
              <w:ind w:left="0" w:right="0"/>
              <w:jc w:val="center"/>
              <w:rPr>
                <w:rFonts w:hint="default" w:asciiTheme="minorEastAsia" w:hAnsiTheme="minorEastAsia" w:eastAsiaTheme="minorEastAsia"/>
                <w:b/>
              </w:rPr>
            </w:pPr>
            <w:r>
              <w:rPr>
                <w:rFonts w:hint="eastAsia" w:asciiTheme="minorEastAsia" w:hAnsiTheme="minorEastAsia" w:eastAsiaTheme="minorEastAsia"/>
                <w:b/>
              </w:rPr>
              <w:t>5</w:t>
            </w:r>
          </w:p>
        </w:tc>
        <w:tc>
          <w:tcPr>
            <w:tcW w:w="1039" w:type="pct"/>
            <w:tcBorders>
              <w:top w:val="single" w:color="auto" w:sz="4" w:space="0"/>
              <w:left w:val="single" w:color="auto" w:sz="4" w:space="0"/>
              <w:bottom w:val="single" w:color="auto" w:sz="4" w:space="0"/>
              <w:right w:val="single" w:color="auto" w:sz="4" w:space="0"/>
            </w:tcBorders>
            <w:vAlign w:val="center"/>
          </w:tcPr>
          <w:p w14:paraId="66691DC3">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rPr>
            </w:pPr>
            <w:r>
              <w:rPr>
                <w:rFonts w:hint="eastAsia" w:cs="宋体" w:asciiTheme="minorEastAsia" w:hAnsiTheme="minorEastAsia" w:eastAsiaTheme="minorEastAsia"/>
                <w:kern w:val="0"/>
                <w:szCs w:val="21"/>
              </w:rPr>
              <w:t>付款方式</w:t>
            </w:r>
          </w:p>
        </w:tc>
        <w:tc>
          <w:tcPr>
            <w:tcW w:w="3605" w:type="pct"/>
            <w:tcBorders>
              <w:top w:val="single" w:color="auto" w:sz="4" w:space="0"/>
              <w:left w:val="single" w:color="auto" w:sz="4" w:space="0"/>
              <w:bottom w:val="single" w:color="auto" w:sz="4" w:space="0"/>
              <w:right w:val="single" w:color="auto" w:sz="4" w:space="0"/>
            </w:tcBorders>
            <w:vAlign w:val="center"/>
          </w:tcPr>
          <w:p w14:paraId="745D8C75">
            <w:pPr>
              <w:keepNext w:val="0"/>
              <w:keepLines w:val="0"/>
              <w:suppressLineNumbers w:val="0"/>
              <w:spacing w:before="0" w:beforeAutospacing="0" w:after="0" w:afterAutospacing="0"/>
              <w:ind w:left="0" w:right="0"/>
              <w:rPr>
                <w:rFonts w:hint="default" w:asciiTheme="minorEastAsia" w:hAnsiTheme="minorEastAsia" w:eastAsiaTheme="minorEastAsia"/>
                <w:lang w:eastAsia="zh-Hans"/>
                <w:woUserID w:val="1"/>
              </w:rPr>
            </w:pPr>
            <w:r>
              <w:rPr>
                <w:rFonts w:hint="default" w:asciiTheme="minorEastAsia" w:hAnsiTheme="minorEastAsia" w:eastAsiaTheme="minorEastAsia"/>
                <w:lang w:eastAsia="zh-Hans"/>
                <w:woUserID w:val="1"/>
              </w:rPr>
              <w:t>采购人按照合同金额分3 期支付，中标人需提前开具正式发票并送到采购人。因付款审批程序或政策变动等原因而导致价款不能及时到账的，采购人不承担违约责任，中标人不得以此拒绝或怠于履行合同义务。</w:t>
            </w:r>
          </w:p>
          <w:p w14:paraId="3F87831D">
            <w:pPr>
              <w:keepNext w:val="0"/>
              <w:keepLines w:val="0"/>
              <w:suppressLineNumbers w:val="0"/>
              <w:spacing w:before="0" w:beforeAutospacing="0" w:after="0" w:afterAutospacing="0"/>
              <w:ind w:left="0" w:right="0"/>
              <w:rPr>
                <w:rFonts w:hint="default" w:asciiTheme="minorEastAsia" w:hAnsiTheme="minorEastAsia" w:eastAsiaTheme="minorEastAsia"/>
                <w:lang w:eastAsia="zh-Hans"/>
                <w:woUserID w:val="1"/>
              </w:rPr>
            </w:pPr>
            <w:r>
              <w:rPr>
                <w:rFonts w:hint="default" w:asciiTheme="minorEastAsia" w:hAnsiTheme="minorEastAsia" w:eastAsiaTheme="minorEastAsia"/>
                <w:lang w:eastAsia="zh-Hans"/>
                <w:woUserID w:val="1"/>
              </w:rPr>
              <w:t>1.第一次付款，合同签订后，采购人向中标人支付合同总额的 30  %；</w:t>
            </w:r>
          </w:p>
          <w:p w14:paraId="4B05E24A">
            <w:pPr>
              <w:keepNext w:val="0"/>
              <w:keepLines w:val="0"/>
              <w:suppressLineNumbers w:val="0"/>
              <w:spacing w:before="0" w:beforeAutospacing="0" w:after="0" w:afterAutospacing="0"/>
              <w:ind w:left="0" w:right="0"/>
              <w:rPr>
                <w:rFonts w:hint="default" w:asciiTheme="minorEastAsia" w:hAnsiTheme="minorEastAsia" w:eastAsiaTheme="minorEastAsia"/>
                <w:lang w:eastAsia="zh-Hans"/>
                <w:woUserID w:val="1"/>
              </w:rPr>
            </w:pPr>
            <w:r>
              <w:rPr>
                <w:rFonts w:hint="default" w:asciiTheme="minorEastAsia" w:hAnsiTheme="minorEastAsia" w:eastAsiaTheme="minorEastAsia"/>
                <w:lang w:eastAsia="zh-Hans"/>
                <w:woUserID w:val="1"/>
              </w:rPr>
              <w:t>2.第二次付款，中标人提供产品授权并导入系统更新且经采购人验收合格后，采购人向中标人支付合同总额的 60  %；</w:t>
            </w:r>
          </w:p>
          <w:p w14:paraId="03705262">
            <w:pPr>
              <w:keepNext w:val="0"/>
              <w:keepLines w:val="0"/>
              <w:suppressLineNumbers w:val="0"/>
              <w:spacing w:before="0" w:beforeAutospacing="0" w:after="0" w:afterAutospacing="0"/>
              <w:ind w:left="0" w:right="0"/>
              <w:rPr>
                <w:rFonts w:hint="default" w:asciiTheme="minorEastAsia" w:hAnsiTheme="minorEastAsia" w:eastAsiaTheme="minorEastAsia"/>
                <w:lang w:eastAsia="zh-Hans"/>
                <w:woUserID w:val="1"/>
              </w:rPr>
            </w:pPr>
            <w:r>
              <w:rPr>
                <w:rFonts w:hint="default" w:asciiTheme="minorEastAsia" w:hAnsiTheme="minorEastAsia" w:eastAsiaTheme="minorEastAsia"/>
                <w:lang w:eastAsia="zh-Hans"/>
                <w:woUserID w:val="1"/>
              </w:rPr>
              <w:t>3.第三次付款，服务期结束后，采购人向中标人支付合同总额 10  %。</w:t>
            </w:r>
          </w:p>
        </w:tc>
      </w:tr>
      <w:tr w14:paraId="386A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354" w:type="pct"/>
            <w:tcBorders>
              <w:top w:val="single" w:color="auto" w:sz="4" w:space="0"/>
              <w:left w:val="single" w:color="auto" w:sz="4" w:space="0"/>
              <w:bottom w:val="single" w:color="auto" w:sz="4" w:space="0"/>
              <w:right w:val="single" w:color="auto" w:sz="4" w:space="0"/>
            </w:tcBorders>
            <w:vAlign w:val="center"/>
          </w:tcPr>
          <w:p w14:paraId="33A1D0F6">
            <w:pPr>
              <w:keepNext w:val="0"/>
              <w:keepLines w:val="0"/>
              <w:suppressLineNumbers w:val="0"/>
              <w:spacing w:before="0" w:beforeAutospacing="0" w:after="0" w:afterAutospacing="0"/>
              <w:ind w:left="0" w:leftChars="0" w:right="0" w:firstLine="0" w:firstLineChars="0"/>
              <w:jc w:val="center"/>
              <w:rPr>
                <w:rFonts w:hint="default" w:asciiTheme="minorEastAsia" w:hAnsiTheme="minorEastAsia" w:eastAsiaTheme="minorEastAsia"/>
                <w:b/>
                <w:woUserID w:val="1"/>
              </w:rPr>
            </w:pPr>
            <w:r>
              <w:rPr>
                <w:rFonts w:hint="default" w:asciiTheme="minorEastAsia" w:hAnsiTheme="minorEastAsia" w:eastAsiaTheme="minorEastAsia"/>
                <w:b/>
                <w:woUserID w:val="1"/>
              </w:rPr>
              <w:t>6</w:t>
            </w:r>
          </w:p>
        </w:tc>
        <w:tc>
          <w:tcPr>
            <w:tcW w:w="1039" w:type="pct"/>
            <w:tcBorders>
              <w:top w:val="single" w:color="auto" w:sz="4" w:space="0"/>
              <w:left w:val="single" w:color="auto" w:sz="4" w:space="0"/>
              <w:bottom w:val="single" w:color="auto" w:sz="4" w:space="0"/>
              <w:right w:val="single" w:color="auto" w:sz="4" w:space="0"/>
            </w:tcBorders>
            <w:vAlign w:val="center"/>
          </w:tcPr>
          <w:p w14:paraId="6DCC4A4E">
            <w:pPr>
              <w:keepNext w:val="0"/>
              <w:keepLines w:val="0"/>
              <w:widowControl/>
              <w:suppressLineNumbers w:val="0"/>
              <w:spacing w:before="0" w:beforeAutospacing="0" w:after="0" w:afterAutospacing="0"/>
              <w:ind w:left="0" w:leftChars="0" w:right="0" w:firstLine="0" w:firstLineChars="0"/>
              <w:jc w:val="center"/>
              <w:rPr>
                <w:rFonts w:hint="default" w:cs="宋体" w:asciiTheme="minorEastAsia" w:hAnsiTheme="minorEastAsia" w:eastAsiaTheme="minorEastAsia"/>
                <w:kern w:val="0"/>
                <w:szCs w:val="21"/>
                <w:woUserID w:val="1"/>
              </w:rPr>
            </w:pPr>
            <w:r>
              <w:rPr>
                <w:rFonts w:hint="default" w:cs="宋体" w:asciiTheme="minorEastAsia" w:hAnsiTheme="minorEastAsia" w:eastAsiaTheme="minorEastAsia"/>
                <w:kern w:val="0"/>
                <w:szCs w:val="21"/>
                <w:woUserID w:val="1"/>
              </w:rPr>
              <w:t>关于知识产权</w:t>
            </w:r>
          </w:p>
        </w:tc>
        <w:tc>
          <w:tcPr>
            <w:tcW w:w="3605" w:type="pct"/>
            <w:tcBorders>
              <w:top w:val="single" w:color="auto" w:sz="4" w:space="0"/>
              <w:left w:val="single" w:color="auto" w:sz="4" w:space="0"/>
              <w:bottom w:val="single" w:color="auto" w:sz="4" w:space="0"/>
              <w:right w:val="single" w:color="auto" w:sz="4" w:space="0"/>
            </w:tcBorders>
            <w:vAlign w:val="center"/>
          </w:tcPr>
          <w:p w14:paraId="62FD2FE1">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kern w:val="2"/>
                <w:sz w:val="21"/>
                <w:szCs w:val="21"/>
                <w:highlight w:val="white"/>
                <w:woUserID w:val="1"/>
              </w:rPr>
            </w:pPr>
            <w:r>
              <w:rPr>
                <w:rFonts w:hint="eastAsia" w:ascii="宋体" w:hAnsi="宋体" w:eastAsia="宋体" w:cs="宋体"/>
                <w:kern w:val="2"/>
                <w:sz w:val="21"/>
                <w:szCs w:val="21"/>
                <w:highlight w:val="white"/>
                <w:lang w:val="en-US" w:eastAsia="zh-CN" w:bidi="ar"/>
                <w:woUserID w:val="1"/>
              </w:rPr>
              <w:t>1</w:t>
            </w:r>
            <w:r>
              <w:rPr>
                <w:rFonts w:hint="default" w:ascii="宋体" w:hAnsi="宋体" w:eastAsia="宋体" w:cs="宋体"/>
                <w:kern w:val="2"/>
                <w:sz w:val="21"/>
                <w:szCs w:val="21"/>
                <w:highlight w:val="white"/>
                <w:lang w:eastAsia="zh-CN" w:bidi="ar"/>
                <w:woUserID w:val="1"/>
              </w:rPr>
              <w:t>.</w:t>
            </w:r>
            <w:r>
              <w:rPr>
                <w:rFonts w:hint="eastAsia" w:ascii="宋体" w:hAnsi="宋体" w:eastAsia="宋体" w:cs="宋体"/>
                <w:kern w:val="2"/>
                <w:sz w:val="21"/>
                <w:szCs w:val="21"/>
                <w:highlight w:val="white"/>
                <w:lang w:val="en-US" w:eastAsia="zh-CN" w:bidi="ar"/>
                <w:woUserID w:val="1"/>
              </w:rPr>
              <w:t>中标人所提供的产品必须符合国家有关软件产品方面的规定和软件标准规范，没有侵犯第三方的合法权利和涉及第三方的诉讼。</w:t>
            </w:r>
          </w:p>
          <w:p w14:paraId="19A69E54">
            <w:pPr>
              <w:keepNext w:val="0"/>
              <w:keepLines w:val="0"/>
              <w:widowControl/>
              <w:suppressLineNumbers w:val="0"/>
              <w:spacing w:before="0" w:beforeAutospacing="0" w:after="0" w:afterAutospacing="0"/>
              <w:ind w:left="0" w:right="0"/>
              <w:jc w:val="left"/>
              <w:rPr>
                <w:rFonts w:hint="default"/>
                <w:woUserID w:val="1"/>
              </w:rPr>
            </w:pPr>
            <w:r>
              <w:rPr>
                <w:rFonts w:hint="eastAsia" w:ascii="宋体" w:hAnsi="宋体" w:eastAsia="宋体" w:cs="宋体"/>
                <w:kern w:val="2"/>
                <w:sz w:val="21"/>
                <w:szCs w:val="21"/>
                <w:highlight w:val="white"/>
                <w:lang w:val="en-US" w:eastAsia="zh-CN" w:bidi="ar"/>
                <w:woUserID w:val="1"/>
              </w:rPr>
              <w:t>2</w:t>
            </w:r>
            <w:r>
              <w:rPr>
                <w:rFonts w:hint="default" w:ascii="宋体" w:hAnsi="宋体" w:eastAsia="宋体" w:cs="宋体"/>
                <w:kern w:val="2"/>
                <w:sz w:val="21"/>
                <w:szCs w:val="21"/>
                <w:highlight w:val="white"/>
                <w:lang w:eastAsia="zh-CN" w:bidi="ar"/>
                <w:woUserID w:val="1"/>
              </w:rPr>
              <w:t>.</w:t>
            </w:r>
            <w:r>
              <w:rPr>
                <w:rFonts w:hint="eastAsia" w:ascii="宋体" w:hAnsi="宋体" w:eastAsia="宋体" w:cs="宋体"/>
                <w:kern w:val="2"/>
                <w:sz w:val="21"/>
                <w:szCs w:val="21"/>
                <w:highlight w:val="white"/>
                <w:lang w:val="en-US" w:eastAsia="zh-CN" w:bidi="ar"/>
                <w:woUserID w:val="1"/>
              </w:rPr>
              <w:t>采购人在中华人民共和国境内使用该产品或产品的任何一部分时，免受第三方提出的侵犯其专利权、商标权或工业设计权等知识产权的起诉或司法干预。如果发生上述起诉或干预，则其法律责任均由中标人负责。</w:t>
            </w:r>
          </w:p>
          <w:p w14:paraId="25349F34">
            <w:pPr>
              <w:keepNext w:val="0"/>
              <w:keepLines w:val="0"/>
              <w:suppressLineNumbers w:val="0"/>
              <w:spacing w:before="0" w:beforeAutospacing="0" w:after="0" w:afterAutospacing="0"/>
              <w:ind w:left="0" w:leftChars="0" w:right="0" w:firstLine="0" w:firstLineChars="0"/>
              <w:rPr>
                <w:rFonts w:hint="default" w:asciiTheme="minorEastAsia" w:hAnsiTheme="minorEastAsia" w:eastAsiaTheme="minorEastAsia"/>
                <w:lang w:eastAsia="zh-Hans"/>
                <w:woUserID w:val="1"/>
              </w:rPr>
            </w:pPr>
          </w:p>
        </w:tc>
      </w:tr>
      <w:tr w14:paraId="6923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354" w:type="pct"/>
            <w:tcBorders>
              <w:top w:val="single" w:color="auto" w:sz="4" w:space="0"/>
              <w:left w:val="single" w:color="auto" w:sz="4" w:space="0"/>
              <w:bottom w:val="single" w:color="auto" w:sz="4" w:space="0"/>
              <w:right w:val="single" w:color="auto" w:sz="4" w:space="0"/>
            </w:tcBorders>
            <w:vAlign w:val="center"/>
          </w:tcPr>
          <w:p w14:paraId="0AE928AC">
            <w:pPr>
              <w:keepNext w:val="0"/>
              <w:keepLines w:val="0"/>
              <w:suppressLineNumbers w:val="0"/>
              <w:spacing w:before="0" w:beforeAutospacing="0" w:after="0" w:afterAutospacing="0"/>
              <w:ind w:left="0" w:leftChars="0" w:right="0" w:firstLine="0" w:firstLineChars="0"/>
              <w:jc w:val="center"/>
              <w:rPr>
                <w:rFonts w:hint="default" w:asciiTheme="minorEastAsia" w:hAnsiTheme="minorEastAsia" w:eastAsiaTheme="minorEastAsia"/>
                <w:b/>
                <w:woUserID w:val="1"/>
              </w:rPr>
            </w:pPr>
            <w:r>
              <w:rPr>
                <w:rFonts w:hint="default" w:asciiTheme="minorEastAsia" w:hAnsiTheme="minorEastAsia" w:eastAsiaTheme="minorEastAsia"/>
                <w:b/>
                <w:woUserID w:val="1"/>
              </w:rPr>
              <w:t>7</w:t>
            </w:r>
          </w:p>
        </w:tc>
        <w:tc>
          <w:tcPr>
            <w:tcW w:w="1039" w:type="pct"/>
            <w:tcBorders>
              <w:top w:val="single" w:color="auto" w:sz="4" w:space="0"/>
              <w:left w:val="single" w:color="auto" w:sz="4" w:space="0"/>
              <w:bottom w:val="single" w:color="auto" w:sz="4" w:space="0"/>
              <w:right w:val="single" w:color="auto" w:sz="4" w:space="0"/>
            </w:tcBorders>
            <w:vAlign w:val="center"/>
          </w:tcPr>
          <w:p w14:paraId="548226D2">
            <w:pPr>
              <w:keepNext w:val="0"/>
              <w:keepLines w:val="0"/>
              <w:widowControl/>
              <w:suppressLineNumbers w:val="0"/>
              <w:spacing w:before="0" w:beforeAutospacing="0" w:after="0" w:afterAutospacing="0"/>
              <w:ind w:left="0" w:leftChars="0" w:right="0" w:firstLine="0" w:firstLineChars="0"/>
              <w:jc w:val="center"/>
              <w:rPr>
                <w:rFonts w:hint="default" w:cs="宋体" w:asciiTheme="minorEastAsia" w:hAnsiTheme="minorEastAsia" w:eastAsiaTheme="minorEastAsia"/>
                <w:kern w:val="0"/>
                <w:szCs w:val="21"/>
                <w:woUserID w:val="1"/>
              </w:rPr>
            </w:pPr>
            <w:r>
              <w:rPr>
                <w:rFonts w:hint="default" w:cs="宋体" w:asciiTheme="minorEastAsia" w:hAnsiTheme="minorEastAsia" w:eastAsiaTheme="minorEastAsia"/>
                <w:kern w:val="0"/>
                <w:szCs w:val="21"/>
                <w:woUserID w:val="1"/>
              </w:rPr>
              <w:t>关于违约</w:t>
            </w:r>
          </w:p>
        </w:tc>
        <w:tc>
          <w:tcPr>
            <w:tcW w:w="3605" w:type="pct"/>
            <w:tcBorders>
              <w:top w:val="single" w:color="auto" w:sz="4" w:space="0"/>
              <w:left w:val="single" w:color="auto" w:sz="4" w:space="0"/>
              <w:bottom w:val="single" w:color="auto" w:sz="4" w:space="0"/>
              <w:right w:val="single" w:color="auto" w:sz="4" w:space="0"/>
            </w:tcBorders>
            <w:vAlign w:val="center"/>
          </w:tcPr>
          <w:p w14:paraId="1BEFECCB">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kern w:val="2"/>
                <w:sz w:val="21"/>
                <w:szCs w:val="21"/>
                <w:highlight w:val="white"/>
                <w:lang w:val="en-US" w:eastAsia="zh-CN" w:bidi="ar"/>
                <w:woUserID w:val="1"/>
              </w:rPr>
            </w:pPr>
            <w:r>
              <w:rPr>
                <w:rFonts w:hint="eastAsia" w:ascii="宋体" w:hAnsi="宋体" w:eastAsia="宋体" w:cs="宋体"/>
                <w:kern w:val="2"/>
                <w:sz w:val="21"/>
                <w:szCs w:val="21"/>
                <w:highlight w:val="white"/>
                <w:lang w:val="en-US" w:eastAsia="zh-CN" w:bidi="ar"/>
                <w:woUserID w:val="1"/>
              </w:rPr>
              <w:t>1</w:t>
            </w:r>
            <w:r>
              <w:rPr>
                <w:rFonts w:hint="default" w:ascii="宋体" w:hAnsi="宋体" w:eastAsia="宋体" w:cs="宋体"/>
                <w:kern w:val="2"/>
                <w:sz w:val="21"/>
                <w:szCs w:val="21"/>
                <w:highlight w:val="white"/>
                <w:lang w:eastAsia="zh-CN" w:bidi="ar"/>
                <w:woUserID w:val="1"/>
              </w:rPr>
              <w:t>.</w:t>
            </w:r>
            <w:r>
              <w:rPr>
                <w:rFonts w:hint="eastAsia" w:ascii="宋体" w:hAnsi="宋体" w:eastAsia="宋体" w:cs="宋体"/>
                <w:kern w:val="2"/>
                <w:sz w:val="21"/>
                <w:szCs w:val="21"/>
                <w:highlight w:val="white"/>
                <w:lang w:val="en-US" w:eastAsia="zh-CN" w:bidi="ar"/>
                <w:woUserID w:val="1"/>
              </w:rPr>
              <w:t>中标方所交付产品不符合其投标承诺的或在投标阶段为了中标而盲目虚假承诺、低价恶性竞争，在履约阶段则通过偷工减料、以次充好而获取利润的，将扣除货款并列入黑名单，3年内不能参与我院招标采购。并上报主管部门。</w:t>
            </w:r>
          </w:p>
          <w:p w14:paraId="73FE5947">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kern w:val="2"/>
                <w:sz w:val="21"/>
                <w:szCs w:val="21"/>
                <w:highlight w:val="white"/>
                <w:lang w:val="en-US" w:eastAsia="zh-CN" w:bidi="ar"/>
                <w:woUserID w:val="1"/>
              </w:rPr>
            </w:pPr>
            <w:r>
              <w:rPr>
                <w:rFonts w:hint="eastAsia" w:ascii="宋体" w:hAnsi="宋体" w:eastAsia="宋体" w:cs="宋体"/>
                <w:kern w:val="2"/>
                <w:sz w:val="21"/>
                <w:szCs w:val="21"/>
                <w:highlight w:val="white"/>
                <w:lang w:val="en-US" w:eastAsia="zh-CN" w:bidi="ar"/>
                <w:woUserID w:val="1"/>
              </w:rPr>
              <w:t>2</w:t>
            </w:r>
            <w:r>
              <w:rPr>
                <w:rFonts w:hint="default" w:ascii="宋体" w:hAnsi="宋体" w:eastAsia="宋体" w:cs="宋体"/>
                <w:kern w:val="2"/>
                <w:sz w:val="21"/>
                <w:szCs w:val="21"/>
                <w:highlight w:val="white"/>
                <w:lang w:eastAsia="zh-CN" w:bidi="ar"/>
                <w:woUserID w:val="1"/>
              </w:rPr>
              <w:t>.</w:t>
            </w:r>
            <w:r>
              <w:rPr>
                <w:rFonts w:hint="eastAsia" w:ascii="宋体" w:hAnsi="宋体" w:eastAsia="宋体" w:cs="宋体"/>
                <w:kern w:val="2"/>
                <w:sz w:val="21"/>
                <w:szCs w:val="21"/>
                <w:highlight w:val="white"/>
                <w:lang w:val="en-US" w:eastAsia="zh-CN" w:bidi="ar"/>
                <w:woUserID w:val="1"/>
              </w:rPr>
              <w:t>具体违约金额按照合同约定为准。</w:t>
            </w:r>
          </w:p>
          <w:p w14:paraId="745BB882">
            <w:pPr>
              <w:keepNext w:val="0"/>
              <w:keepLines w:val="0"/>
              <w:suppressLineNumbers w:val="0"/>
              <w:spacing w:before="0" w:beforeAutospacing="0" w:after="0" w:afterAutospacing="0"/>
              <w:ind w:left="0" w:leftChars="0" w:right="0" w:firstLine="0" w:firstLineChars="0"/>
              <w:rPr>
                <w:rFonts w:hint="default" w:asciiTheme="minorEastAsia" w:hAnsiTheme="minorEastAsia" w:eastAsiaTheme="minorEastAsia"/>
                <w:lang w:eastAsia="zh-Hans"/>
                <w:woUserID w:val="1"/>
              </w:rPr>
            </w:pPr>
          </w:p>
        </w:tc>
      </w:tr>
    </w:tbl>
    <w:p w14:paraId="17E3CFAA">
      <w:pPr>
        <w:rPr>
          <w:rFonts w:asciiTheme="minorEastAsia" w:hAnsiTheme="minorEastAsia" w:eastAsiaTheme="minorEastAsia"/>
          <w:szCs w:val="24"/>
        </w:rPr>
      </w:pPr>
    </w:p>
    <w:sectPr>
      <w:footerReference r:id="rId3" w:type="default"/>
      <w:pgSz w:w="11906" w:h="16838"/>
      <w:pgMar w:top="1440" w:right="1286"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16CCD">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63827">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D963827">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282FA6"/>
    <w:multiLevelType w:val="singleLevel"/>
    <w:tmpl w:val="E7282FA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DD2"/>
    <w:rsid w:val="00010EAA"/>
    <w:rsid w:val="00021BC6"/>
    <w:rsid w:val="000269C6"/>
    <w:rsid w:val="00031D41"/>
    <w:rsid w:val="00041E5A"/>
    <w:rsid w:val="000B7BA9"/>
    <w:rsid w:val="000D17D4"/>
    <w:rsid w:val="000D2B17"/>
    <w:rsid w:val="000D3AB3"/>
    <w:rsid w:val="000D3DD2"/>
    <w:rsid w:val="001501A5"/>
    <w:rsid w:val="00153A19"/>
    <w:rsid w:val="00202440"/>
    <w:rsid w:val="00290F4D"/>
    <w:rsid w:val="002D11DB"/>
    <w:rsid w:val="003300EE"/>
    <w:rsid w:val="0033316E"/>
    <w:rsid w:val="00347EA4"/>
    <w:rsid w:val="00372D6D"/>
    <w:rsid w:val="00381D03"/>
    <w:rsid w:val="00382B25"/>
    <w:rsid w:val="003A5219"/>
    <w:rsid w:val="003C05FF"/>
    <w:rsid w:val="003F46F7"/>
    <w:rsid w:val="00435C46"/>
    <w:rsid w:val="00440DA1"/>
    <w:rsid w:val="00491E27"/>
    <w:rsid w:val="00495D9B"/>
    <w:rsid w:val="004A531A"/>
    <w:rsid w:val="004D33CE"/>
    <w:rsid w:val="00515A40"/>
    <w:rsid w:val="00590FC8"/>
    <w:rsid w:val="005A6F83"/>
    <w:rsid w:val="005F1C83"/>
    <w:rsid w:val="0061400C"/>
    <w:rsid w:val="006313C6"/>
    <w:rsid w:val="006448CA"/>
    <w:rsid w:val="006B3EA1"/>
    <w:rsid w:val="006B6241"/>
    <w:rsid w:val="0071324E"/>
    <w:rsid w:val="00752068"/>
    <w:rsid w:val="00780972"/>
    <w:rsid w:val="007856F4"/>
    <w:rsid w:val="007858EC"/>
    <w:rsid w:val="007D435D"/>
    <w:rsid w:val="00811A11"/>
    <w:rsid w:val="00833208"/>
    <w:rsid w:val="008A3FC0"/>
    <w:rsid w:val="008C3C3A"/>
    <w:rsid w:val="008F090B"/>
    <w:rsid w:val="008F6F08"/>
    <w:rsid w:val="009142FB"/>
    <w:rsid w:val="00917891"/>
    <w:rsid w:val="00930D99"/>
    <w:rsid w:val="00941526"/>
    <w:rsid w:val="00987C05"/>
    <w:rsid w:val="00997BCA"/>
    <w:rsid w:val="009E4EFD"/>
    <w:rsid w:val="009F1A57"/>
    <w:rsid w:val="00AE2131"/>
    <w:rsid w:val="00AE4687"/>
    <w:rsid w:val="00B6242E"/>
    <w:rsid w:val="00B632F5"/>
    <w:rsid w:val="00BA151A"/>
    <w:rsid w:val="00BB2C05"/>
    <w:rsid w:val="00BD7DE6"/>
    <w:rsid w:val="00BF3F09"/>
    <w:rsid w:val="00C659C3"/>
    <w:rsid w:val="00CE75BA"/>
    <w:rsid w:val="00D05C3F"/>
    <w:rsid w:val="00D53D42"/>
    <w:rsid w:val="00D5707B"/>
    <w:rsid w:val="00D653C3"/>
    <w:rsid w:val="00DA7583"/>
    <w:rsid w:val="00DC5BC9"/>
    <w:rsid w:val="00DF4B08"/>
    <w:rsid w:val="00E552CA"/>
    <w:rsid w:val="00FA608B"/>
    <w:rsid w:val="00FF2B42"/>
    <w:rsid w:val="033E14A1"/>
    <w:rsid w:val="03D23078"/>
    <w:rsid w:val="03E358CF"/>
    <w:rsid w:val="04926F71"/>
    <w:rsid w:val="05C472A9"/>
    <w:rsid w:val="05F45A09"/>
    <w:rsid w:val="07B33DBE"/>
    <w:rsid w:val="09AF7805"/>
    <w:rsid w:val="0A1A7ACF"/>
    <w:rsid w:val="0A9260D7"/>
    <w:rsid w:val="0BF14853"/>
    <w:rsid w:val="0DC85090"/>
    <w:rsid w:val="0F2440D7"/>
    <w:rsid w:val="0F716D13"/>
    <w:rsid w:val="10624D6F"/>
    <w:rsid w:val="10C76AC0"/>
    <w:rsid w:val="10F41C3A"/>
    <w:rsid w:val="10F75D81"/>
    <w:rsid w:val="11546A2A"/>
    <w:rsid w:val="11E92E6D"/>
    <w:rsid w:val="14A05292"/>
    <w:rsid w:val="14BF6140"/>
    <w:rsid w:val="14D0319D"/>
    <w:rsid w:val="174C7453"/>
    <w:rsid w:val="174D31CB"/>
    <w:rsid w:val="174E3079"/>
    <w:rsid w:val="18055854"/>
    <w:rsid w:val="18324823"/>
    <w:rsid w:val="18FD5110"/>
    <w:rsid w:val="19EB06C2"/>
    <w:rsid w:val="1A6E76E0"/>
    <w:rsid w:val="1A81091F"/>
    <w:rsid w:val="1A954849"/>
    <w:rsid w:val="1B4E4034"/>
    <w:rsid w:val="1B96225A"/>
    <w:rsid w:val="1BD24418"/>
    <w:rsid w:val="1C976C40"/>
    <w:rsid w:val="1EA444EE"/>
    <w:rsid w:val="1FFF2E24"/>
    <w:rsid w:val="209F02CD"/>
    <w:rsid w:val="210461CB"/>
    <w:rsid w:val="21080315"/>
    <w:rsid w:val="21311468"/>
    <w:rsid w:val="21B433D5"/>
    <w:rsid w:val="22757CEE"/>
    <w:rsid w:val="23CC7066"/>
    <w:rsid w:val="23EA5EB0"/>
    <w:rsid w:val="249A067E"/>
    <w:rsid w:val="25183CA6"/>
    <w:rsid w:val="25C841E4"/>
    <w:rsid w:val="25CE54D7"/>
    <w:rsid w:val="26BD5C77"/>
    <w:rsid w:val="2778627D"/>
    <w:rsid w:val="27DD3464"/>
    <w:rsid w:val="2870270A"/>
    <w:rsid w:val="28F61AD8"/>
    <w:rsid w:val="2A60479C"/>
    <w:rsid w:val="2AFA459D"/>
    <w:rsid w:val="2C022830"/>
    <w:rsid w:val="2C915764"/>
    <w:rsid w:val="2CE574F1"/>
    <w:rsid w:val="2F1A33B0"/>
    <w:rsid w:val="2FB90FA6"/>
    <w:rsid w:val="30E107B4"/>
    <w:rsid w:val="319C2BE0"/>
    <w:rsid w:val="31B81495"/>
    <w:rsid w:val="32B45800"/>
    <w:rsid w:val="32C0394F"/>
    <w:rsid w:val="32F61C59"/>
    <w:rsid w:val="333F5D87"/>
    <w:rsid w:val="33AC7A27"/>
    <w:rsid w:val="342A2472"/>
    <w:rsid w:val="348903E7"/>
    <w:rsid w:val="34F11C04"/>
    <w:rsid w:val="350A597B"/>
    <w:rsid w:val="351238B2"/>
    <w:rsid w:val="35417A29"/>
    <w:rsid w:val="354A1260"/>
    <w:rsid w:val="35B00AA5"/>
    <w:rsid w:val="376A5D3B"/>
    <w:rsid w:val="377F2AD5"/>
    <w:rsid w:val="381A72DF"/>
    <w:rsid w:val="38B84409"/>
    <w:rsid w:val="394A4669"/>
    <w:rsid w:val="3C24205E"/>
    <w:rsid w:val="3C690CA9"/>
    <w:rsid w:val="3CEB4840"/>
    <w:rsid w:val="3CF61299"/>
    <w:rsid w:val="3DD30847"/>
    <w:rsid w:val="40386215"/>
    <w:rsid w:val="40A765B9"/>
    <w:rsid w:val="40B87530"/>
    <w:rsid w:val="42290E73"/>
    <w:rsid w:val="426052B1"/>
    <w:rsid w:val="42F178CB"/>
    <w:rsid w:val="43386873"/>
    <w:rsid w:val="454330D8"/>
    <w:rsid w:val="46711DE2"/>
    <w:rsid w:val="474F55B4"/>
    <w:rsid w:val="476152FA"/>
    <w:rsid w:val="479B13C3"/>
    <w:rsid w:val="486756A5"/>
    <w:rsid w:val="488A6838"/>
    <w:rsid w:val="48C12C30"/>
    <w:rsid w:val="49046A59"/>
    <w:rsid w:val="496B2F4D"/>
    <w:rsid w:val="49BE5ED2"/>
    <w:rsid w:val="4A0A6440"/>
    <w:rsid w:val="4AE149B8"/>
    <w:rsid w:val="4AE47FB2"/>
    <w:rsid w:val="4B2E50E2"/>
    <w:rsid w:val="4CFB27A6"/>
    <w:rsid w:val="4D1E2857"/>
    <w:rsid w:val="4DA954F8"/>
    <w:rsid w:val="4DE05179"/>
    <w:rsid w:val="4DEF40B9"/>
    <w:rsid w:val="4F7850C0"/>
    <w:rsid w:val="50E66016"/>
    <w:rsid w:val="51230BC3"/>
    <w:rsid w:val="51ED3DBC"/>
    <w:rsid w:val="52427CAD"/>
    <w:rsid w:val="52466271"/>
    <w:rsid w:val="52526818"/>
    <w:rsid w:val="54302DCA"/>
    <w:rsid w:val="554058C0"/>
    <w:rsid w:val="55506DBE"/>
    <w:rsid w:val="559C0E6A"/>
    <w:rsid w:val="569864A3"/>
    <w:rsid w:val="583E2239"/>
    <w:rsid w:val="59C75EEA"/>
    <w:rsid w:val="5AF36EBE"/>
    <w:rsid w:val="5C6B5021"/>
    <w:rsid w:val="5D806DA9"/>
    <w:rsid w:val="5E517DED"/>
    <w:rsid w:val="5F903833"/>
    <w:rsid w:val="6051490F"/>
    <w:rsid w:val="611213AC"/>
    <w:rsid w:val="61671D60"/>
    <w:rsid w:val="61AB60F1"/>
    <w:rsid w:val="62EC4C13"/>
    <w:rsid w:val="634F28BE"/>
    <w:rsid w:val="63C33BC6"/>
    <w:rsid w:val="63F13C82"/>
    <w:rsid w:val="63FE52F5"/>
    <w:rsid w:val="64E262CE"/>
    <w:rsid w:val="65323CE2"/>
    <w:rsid w:val="66F52FA1"/>
    <w:rsid w:val="6B902452"/>
    <w:rsid w:val="6C1A177C"/>
    <w:rsid w:val="6E0A419F"/>
    <w:rsid w:val="6E511DCE"/>
    <w:rsid w:val="6E91666F"/>
    <w:rsid w:val="6F0115BC"/>
    <w:rsid w:val="70C27F8A"/>
    <w:rsid w:val="70D231D9"/>
    <w:rsid w:val="712A2CB0"/>
    <w:rsid w:val="7194160C"/>
    <w:rsid w:val="7277741A"/>
    <w:rsid w:val="7286239C"/>
    <w:rsid w:val="72DE728C"/>
    <w:rsid w:val="73BA650B"/>
    <w:rsid w:val="73C82B32"/>
    <w:rsid w:val="74222DC5"/>
    <w:rsid w:val="747A27E3"/>
    <w:rsid w:val="75381A33"/>
    <w:rsid w:val="76A827A7"/>
    <w:rsid w:val="788B637D"/>
    <w:rsid w:val="79A32580"/>
    <w:rsid w:val="79D412A1"/>
    <w:rsid w:val="7A2D6CEA"/>
    <w:rsid w:val="7AE7398D"/>
    <w:rsid w:val="7B3E1D1A"/>
    <w:rsid w:val="7B6773DA"/>
    <w:rsid w:val="7C817420"/>
    <w:rsid w:val="7C8F3DFF"/>
    <w:rsid w:val="7D5F1EFC"/>
    <w:rsid w:val="7D6A45A0"/>
    <w:rsid w:val="7EEC1C4E"/>
    <w:rsid w:val="7EFF8B1E"/>
    <w:rsid w:val="7F392227"/>
    <w:rsid w:val="7F40336C"/>
    <w:rsid w:val="7F775E71"/>
    <w:rsid w:val="7FC86E71"/>
    <w:rsid w:val="FF8D50F5"/>
    <w:rsid w:val="FFFD065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b/>
      <w:bCs/>
      <w:kern w:val="44"/>
      <w:sz w:val="48"/>
      <w:szCs w:val="48"/>
    </w:rPr>
  </w:style>
  <w:style w:type="paragraph" w:styleId="3">
    <w:name w:val="heading 3"/>
    <w:basedOn w:val="1"/>
    <w:next w:val="1"/>
    <w:semiHidden/>
    <w:unhideWhenUsed/>
    <w:qFormat/>
    <w:uiPriority w:val="9"/>
    <w:pPr>
      <w:spacing w:beforeAutospacing="1" w:afterAutospacing="1"/>
      <w:jc w:val="left"/>
      <w:outlineLvl w:val="2"/>
    </w:pPr>
    <w:rPr>
      <w:rFonts w:hint="eastAsia" w:ascii="宋体" w:hAnsi="宋体"/>
      <w:b/>
      <w:bCs/>
      <w:kern w:val="0"/>
      <w:sz w:val="27"/>
      <w:szCs w:val="27"/>
    </w:rPr>
  </w:style>
  <w:style w:type="character" w:default="1" w:styleId="13">
    <w:name w:val="Default Paragraph Font"/>
    <w:semiHidden/>
    <w:unhideWhenUsed/>
    <w:qFormat/>
    <w:uiPriority w:val="1"/>
  </w:style>
  <w:style w:type="table" w:default="1" w:styleId="1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qFormat/>
    <w:uiPriority w:val="0"/>
    <w:pPr>
      <w:spacing w:line="360" w:lineRule="auto"/>
    </w:pPr>
    <w:rPr>
      <w:b/>
      <w:bCs/>
      <w:sz w:val="24"/>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semiHidden/>
    <w:unhideWhenUsed/>
    <w:qFormat/>
    <w:uiPriority w:val="99"/>
    <w:pPr>
      <w:snapToGrid w:val="0"/>
      <w:jc w:val="left"/>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w:basedOn w:val="1"/>
    <w:qFormat/>
    <w:uiPriority w:val="0"/>
    <w:pPr>
      <w:spacing w:after="120"/>
      <w:ind w:firstLine="420" w:firstLineChars="100"/>
    </w:pPr>
    <w:rPr>
      <w:b/>
      <w:bCs/>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rPr>
  </w:style>
  <w:style w:type="paragraph" w:customStyle="1" w:styleId="15">
    <w:name w:val="文档正文"/>
    <w:basedOn w:val="1"/>
    <w:qFormat/>
    <w:uiPriority w:val="0"/>
    <w:pPr>
      <w:adjustRightInd w:val="0"/>
      <w:spacing w:line="480" w:lineRule="atLeast"/>
      <w:ind w:firstLine="567" w:firstLineChars="200"/>
    </w:pPr>
    <w:rPr>
      <w:rFonts w:ascii="长城仿宋"/>
      <w:kern w:val="0"/>
      <w:szCs w:val="20"/>
    </w:rPr>
  </w:style>
  <w:style w:type="character" w:customStyle="1" w:styleId="16">
    <w:name w:val="页眉 字符"/>
    <w:basedOn w:val="13"/>
    <w:link w:val="7"/>
    <w:qFormat/>
    <w:uiPriority w:val="99"/>
    <w:rPr>
      <w:rFonts w:ascii="Times New Roman" w:hAnsi="Times New Roman" w:eastAsia="宋体" w:cs="Times New Roman"/>
      <w:sz w:val="18"/>
      <w:szCs w:val="18"/>
    </w:rPr>
  </w:style>
  <w:style w:type="character" w:customStyle="1" w:styleId="17">
    <w:name w:val="页脚 字符"/>
    <w:basedOn w:val="13"/>
    <w:link w:val="6"/>
    <w:qFormat/>
    <w:uiPriority w:val="99"/>
    <w:rPr>
      <w:rFonts w:ascii="Times New Roman" w:hAnsi="Times New Roman" w:eastAsia="宋体" w:cs="Times New Roman"/>
      <w:sz w:val="18"/>
      <w:szCs w:val="18"/>
    </w:rPr>
  </w:style>
  <w:style w:type="character" w:customStyle="1" w:styleId="18">
    <w:name w:val="font21"/>
    <w:basedOn w:val="13"/>
    <w:qFormat/>
    <w:uiPriority w:val="0"/>
    <w:rPr>
      <w:rFonts w:hint="eastAsia" w:ascii="宋体" w:hAnsi="宋体" w:eastAsia="宋体" w:cs="宋体"/>
      <w:color w:val="000000"/>
      <w:sz w:val="24"/>
      <w:szCs w:val="24"/>
      <w:u w:val="none"/>
      <w:vertAlign w:val="superscript"/>
    </w:rPr>
  </w:style>
  <w:style w:type="character" w:customStyle="1" w:styleId="19">
    <w:name w:val="font11"/>
    <w:basedOn w:val="13"/>
    <w:qFormat/>
    <w:uiPriority w:val="0"/>
    <w:rPr>
      <w:rFonts w:hint="eastAsia" w:ascii="宋体" w:hAnsi="宋体" w:eastAsia="宋体" w:cs="宋体"/>
      <w:color w:val="000000"/>
      <w:sz w:val="24"/>
      <w:szCs w:val="24"/>
      <w:u w:val="none"/>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正文段落"/>
    <w:basedOn w:val="10"/>
    <w:qFormat/>
    <w:uiPriority w:val="0"/>
    <w:pPr>
      <w:spacing w:line="360" w:lineRule="auto"/>
      <w:ind w:firstLine="480" w:firstLineChars="200"/>
    </w:pPr>
    <w:rPr>
      <w:rFonts w:ascii="宋体" w:hAnsi="宋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798F16-AA9B-49E9-9A23-12CA24631D52}">
  <ds:schemaRefs/>
</ds:datastoreItem>
</file>

<file path=docProps/app.xml><?xml version="1.0" encoding="utf-8"?>
<Properties xmlns="http://schemas.openxmlformats.org/officeDocument/2006/extended-properties" xmlns:vt="http://schemas.openxmlformats.org/officeDocument/2006/docPropsVTypes">
  <Pages>3</Pages>
  <Words>1054</Words>
  <Characters>1234</Characters>
  <Lines>1</Lines>
  <Paragraphs>1</Paragraphs>
  <TotalTime>2</TotalTime>
  <ScaleCrop>false</ScaleCrop>
  <LinksUpToDate>false</LinksUpToDate>
  <CharactersWithSpaces>1256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2026-07-16T16:55:00Z</dcterms:created>
  <dc:creator>韦文托</dc:creator>
  <cp:lastModifiedBy>rainbow</cp:lastModifiedBy>
  <cp:lastPrinted>2025-05-19T15:10:00Z</cp:lastPrinted>
  <dcterms:modified xsi:type="dcterms:W3CDTF">2026-07-21T06:49:57Z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5A94DFF11E194CC9B308A797322F8F7E_13</vt:lpwstr>
  </property>
  <property fmtid="{D5CDD505-2E9C-101B-9397-08002B2CF9AE}" pid="4" name="KSOTemplateDocerSaveRecord">
    <vt:lpwstr>eyJoZGlkIjoiNTJlM2E5NjU2YTVhYjE0MjY0ODJiYWJjYWM0NDk2ZTQiLCJ1c2VySWQiOiIzMTM3OTk1ODcifQ==</vt:lpwstr>
  </property>
</Properties>
</file>