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4DB03">
      <w:pPr>
        <w:spacing w:line="560" w:lineRule="exact"/>
        <w:jc w:val="center"/>
        <w:rPr>
          <w:rFonts w:ascii="黑体" w:hAnsi="宋体" w:eastAsia="黑体"/>
          <w:sz w:val="40"/>
          <w:szCs w:val="40"/>
        </w:rPr>
      </w:pPr>
      <w:r>
        <w:rPr>
          <w:rFonts w:hint="eastAsia" w:ascii="黑体" w:hAnsi="宋体" w:eastAsia="黑体"/>
          <w:sz w:val="40"/>
          <w:szCs w:val="40"/>
        </w:rPr>
        <w:t>E商城电子反拍申报书</w:t>
      </w:r>
    </w:p>
    <w:tbl>
      <w:tblPr>
        <w:tblStyle w:val="8"/>
        <w:tblW w:w="10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309"/>
        <w:gridCol w:w="8090"/>
      </w:tblGrid>
      <w:tr w14:paraId="0F647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70" w:type="dxa"/>
            <w:gridSpan w:val="2"/>
            <w:vAlign w:val="center"/>
          </w:tcPr>
          <w:p w14:paraId="3D12AA07">
            <w:pPr>
              <w:spacing w:line="580" w:lineRule="exact"/>
              <w:jc w:val="center"/>
              <w:rPr>
                <w:rFonts w:ascii="宋体" w:hAnsi="宋体" w:cs="仿宋"/>
                <w:szCs w:val="21"/>
              </w:rPr>
            </w:pPr>
            <w:r>
              <w:rPr>
                <w:rFonts w:hint="eastAsia" w:ascii="宋体" w:hAnsi="宋体" w:cs="仿宋"/>
                <w:kern w:val="0"/>
                <w:szCs w:val="21"/>
              </w:rPr>
              <w:t>采购信息</w:t>
            </w:r>
          </w:p>
        </w:tc>
        <w:tc>
          <w:tcPr>
            <w:tcW w:w="8090" w:type="dxa"/>
          </w:tcPr>
          <w:p w14:paraId="6AF00C73">
            <w:pPr>
              <w:adjustRightInd w:val="0"/>
              <w:snapToGrid w:val="0"/>
              <w:spacing w:line="580" w:lineRule="exact"/>
              <w:rPr>
                <w:rFonts w:ascii="宋体" w:hAnsi="宋体" w:cs="仿宋"/>
                <w:b/>
                <w:bCs/>
                <w:szCs w:val="21"/>
              </w:rPr>
            </w:pPr>
            <w:r>
              <w:rPr>
                <w:rFonts w:hint="eastAsia" w:ascii="宋体" w:hAnsi="宋体" w:cs="仿宋"/>
                <w:b/>
                <w:bCs/>
                <w:szCs w:val="21"/>
              </w:rPr>
              <w:t>1、采购商品需求清单</w:t>
            </w:r>
          </w:p>
          <w:tbl>
            <w:tblPr>
              <w:tblStyle w:val="8"/>
              <w:tblW w:w="0" w:type="auto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8"/>
              <w:gridCol w:w="1251"/>
              <w:gridCol w:w="1321"/>
              <w:gridCol w:w="1260"/>
              <w:gridCol w:w="1470"/>
              <w:gridCol w:w="1080"/>
              <w:gridCol w:w="2073"/>
            </w:tblGrid>
            <w:tr w14:paraId="15BF676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30" w:hRule="atLeast"/>
              </w:trPr>
              <w:tc>
                <w:tcPr>
                  <w:tcW w:w="71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F56AB70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0B4BC12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商品名称</w:t>
                  </w:r>
                </w:p>
              </w:tc>
              <w:tc>
                <w:tcPr>
                  <w:tcW w:w="132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8EE1563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bCs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  <w:lang w:val="en-US" w:eastAsia="zh-CN"/>
                    </w:rPr>
                    <w:t>高性能工作站</w:t>
                  </w:r>
                </w:p>
              </w:tc>
              <w:tc>
                <w:tcPr>
                  <w:tcW w:w="126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26841B6C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期望品牌</w:t>
                  </w:r>
                </w:p>
              </w:tc>
              <w:tc>
                <w:tcPr>
                  <w:tcW w:w="147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2B13FF7"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bCs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/>
                    </w:rPr>
                    <w:t>Alienware 外星人</w:t>
                  </w:r>
                </w:p>
              </w:tc>
              <w:tc>
                <w:tcPr>
                  <w:tcW w:w="10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123020A5">
                  <w:pPr>
                    <w:widowControl/>
                    <w:jc w:val="center"/>
                    <w:rPr>
                      <w:rFonts w:ascii="宋体" w:hAnsi="宋体" w:cs="宋体"/>
                      <w:bCs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color w:val="000000"/>
                      <w:kern w:val="0"/>
                      <w:szCs w:val="21"/>
                    </w:rPr>
                    <w:t>期望型号</w:t>
                  </w:r>
                </w:p>
              </w:tc>
              <w:tc>
                <w:tcPr>
                  <w:tcW w:w="207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7C3746EC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b/>
                      <w:bCs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/>
                    </w:rPr>
                    <w:t>Area-51</w:t>
                  </w:r>
                  <w:r>
                    <w:rPr>
                      <w:rFonts w:hint="eastAsia"/>
                      <w:lang w:val="en-US" w:eastAsia="zh-CN"/>
                    </w:rPr>
                    <w:t xml:space="preserve"> (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英特尔® 酷睿™ Ultra 9 285K</w:t>
                  </w:r>
                  <w:r>
                    <w:rPr>
                      <w:rFonts w:hint="eastAsia"/>
                      <w:lang w:val="en-US" w:eastAsia="zh-CN"/>
                    </w:rPr>
                    <w:t>)</w:t>
                  </w:r>
                </w:p>
              </w:tc>
            </w:tr>
            <w:tr w14:paraId="1D1F4E1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81" w:hRule="atLeast"/>
              </w:trPr>
              <w:tc>
                <w:tcPr>
                  <w:tcW w:w="718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4BB21BD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41F420D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采购数量</w:t>
                  </w:r>
                </w:p>
              </w:tc>
              <w:tc>
                <w:tcPr>
                  <w:tcW w:w="132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3BA2F88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126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384F8C6D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计量单位</w:t>
                  </w:r>
                </w:p>
              </w:tc>
              <w:tc>
                <w:tcPr>
                  <w:tcW w:w="147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12C8EFE0">
                  <w:pPr>
                    <w:widowControl/>
                    <w:jc w:val="center"/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台</w:t>
                  </w:r>
                </w:p>
              </w:tc>
              <w:tc>
                <w:tcPr>
                  <w:tcW w:w="108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133AF76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附 件</w:t>
                  </w:r>
                </w:p>
              </w:tc>
              <w:tc>
                <w:tcPr>
                  <w:tcW w:w="2073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69177FA9">
                  <w:pPr>
                    <w:widowControl/>
                    <w:jc w:val="center"/>
                    <w:rPr>
                      <w:rFonts w:hint="default" w:ascii="宋体" w:hAnsi="宋体" w:eastAsia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2</w:t>
                  </w:r>
                </w:p>
              </w:tc>
            </w:tr>
            <w:tr w14:paraId="4FF9D06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40" w:hRule="atLeast"/>
              </w:trPr>
              <w:tc>
                <w:tcPr>
                  <w:tcW w:w="718" w:type="dxa"/>
                  <w:vMerge w:val="continue"/>
                  <w:tcBorders>
                    <w:left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47DF209E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4DC5DBEC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规格参数</w:t>
                  </w:r>
                </w:p>
              </w:tc>
              <w:tc>
                <w:tcPr>
                  <w:tcW w:w="7204" w:type="dxa"/>
                  <w:gridSpan w:val="5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3BAC16FF">
                  <w:pPr>
                    <w:numPr>
                      <w:ilvl w:val="0"/>
                      <w:numId w:val="0"/>
                    </w:numPr>
                    <w:ind w:left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</w:p>
                <w:p w14:paraId="39E81BAC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b/>
                      <w:bCs/>
                      <w:color w:val="000000"/>
                      <w:kern w:val="0"/>
                      <w:szCs w:val="21"/>
                      <w:lang w:val="en-US" w:eastAsia="zh-CN"/>
                    </w:rPr>
                    <w:t xml:space="preserve">CPU: 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英特尔® 酷睿™ Ultra 9 285K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。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核心/线程：24 核 / 24 线程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；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频率：基础频率 3.7GHz，最高睿频 5.7GHz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；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缓存：76MB 总缓存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；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制程：3nm</w:t>
                  </w:r>
                </w:p>
                <w:p w14:paraId="5B617086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b/>
                      <w:bCs/>
                      <w:color w:val="000000"/>
                      <w:kern w:val="0"/>
                      <w:szCs w:val="21"/>
                      <w:lang w:val="en-US" w:eastAsia="zh-CN"/>
                    </w:rPr>
                    <w:t>内存：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容量：32 GB (16GB×2)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；类型/频率：DDR5 XMP，6400 MHz；插槽：2 个 DDR5 插槽</w:t>
                  </w:r>
                </w:p>
                <w:p w14:paraId="5CCC1F04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b/>
                      <w:bCs/>
                      <w:color w:val="000000"/>
                      <w:kern w:val="0"/>
                      <w:szCs w:val="21"/>
                      <w:lang w:val="en-US" w:eastAsia="zh-CN"/>
                    </w:rPr>
                    <w:t>硬盘：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容量：1 TB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；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类型：TLC NVMe M.2 PCIe Gen5 固态硬盘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；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扩展性：机身提供 3 个 M.2 插槽（1 个支持 Gen5，2 个支持 Gen4）</w:t>
                  </w:r>
                </w:p>
                <w:p w14:paraId="15304E89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b/>
                      <w:bCs/>
                      <w:color w:val="000000"/>
                      <w:kern w:val="0"/>
                      <w:szCs w:val="21"/>
                      <w:lang w:val="en-US" w:eastAsia="zh-CN"/>
                    </w:rPr>
                    <w:t>显卡：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芯片：NVIDIA® GeForce RTX™ 5070 Ti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；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显存：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16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 xml:space="preserve"> GB GDDR7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；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功耗 (TBP)：285 W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；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 xml:space="preserve">接口：配备 DisplayPort 2.1b 和 HDMI 2.1b 端口 </w:t>
                  </w:r>
                </w:p>
                <w:p w14:paraId="4545ADC9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b/>
                      <w:bCs/>
                      <w:color w:val="000000"/>
                      <w:kern w:val="0"/>
                      <w:szCs w:val="21"/>
                      <w:lang w:val="en-US" w:eastAsia="zh-CN"/>
                    </w:rPr>
                    <w:t>电源：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功率：1500 W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；证等级：白金级 (Platinum) ATX12VO 电源；散热配置：360 毫米液冷 CPU 冷却器</w:t>
                  </w:r>
                </w:p>
                <w:p w14:paraId="74028F89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b/>
                      <w:bCs/>
                      <w:color w:val="000000"/>
                      <w:kern w:val="0"/>
                      <w:szCs w:val="21"/>
                      <w:lang w:val="en-US" w:eastAsia="zh-CN"/>
                    </w:rPr>
                    <w:t>系统与软件：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预装Windows 11 工作站专业版, 简体中文 + Ubuntu 23.04（到货后安装，需上门安装LXD容器满足多用户管理需求）</w:t>
                  </w:r>
                </w:p>
                <w:p w14:paraId="7F2EB4D4">
                  <w:pPr>
                    <w:numPr>
                      <w:ilvl w:val="0"/>
                      <w:numId w:val="0"/>
                    </w:numPr>
                    <w:ind w:left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</w:p>
                <w:p w14:paraId="2B7AD442">
                  <w:pPr>
                    <w:numPr>
                      <w:ilvl w:val="0"/>
                      <w:numId w:val="0"/>
                    </w:numPr>
                    <w:ind w:leftChars="0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附件1：键盘（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Alienware AW510K 矮轴 RGB 机械游戏键盘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）参数：</w:t>
                  </w:r>
                </w:p>
                <w:p w14:paraId="225E2E8F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基本型号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Alienware AW510K 矮轴 RGB 机械游戏键盘</w:t>
                  </w:r>
                </w:p>
                <w:p w14:paraId="13F39CB4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连接方式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有线 USB</w:t>
                  </w:r>
                </w:p>
                <w:p w14:paraId="30B22792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轴体类型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Cherry MX 矮红轴（线性轴体）</w:t>
                  </w:r>
                </w:p>
                <w:p w14:paraId="2CE366F7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按键寿命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5,000 万次击键</w:t>
                  </w:r>
                </w:p>
                <w:p w14:paraId="7A7456CE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按键布局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108 键全尺寸，三区块优化布局</w:t>
                  </w:r>
                </w:p>
                <w:p w14:paraId="2191C12D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键位冲突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全键无冲 (N-Key Rollover)</w:t>
                  </w:r>
                </w:p>
                <w:p w14:paraId="5CA5DBBB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背光系统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AlienFX 单键 RGB，约 1,680 万色可自定义</w:t>
                  </w:r>
                </w:p>
                <w:p w14:paraId="6187049E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板载内存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支持，可存储 5 组配置文件</w:t>
                  </w:r>
                </w:p>
                <w:p w14:paraId="4C786AFF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多媒体控制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专用音量滚轮 + 静音键</w:t>
                  </w:r>
                </w:p>
                <w:p w14:paraId="0259254F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USB 直通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支持，键盘后部提供额外 USB 端口</w:t>
                  </w:r>
                </w:p>
                <w:p w14:paraId="6AB02DC9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轮询率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1000 Hz (1 ms)</w:t>
                  </w:r>
                </w:p>
                <w:p w14:paraId="116ED77F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键程参数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总行程 3.2mm，触发行程 1.2mm</w:t>
                  </w:r>
                </w:p>
                <w:p w14:paraId="70993542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尺寸/重量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467 × 156.2 × 29.4 mm / 约 910g</w:t>
                  </w:r>
                </w:p>
                <w:p w14:paraId="7901A3FB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线缆长度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2 米编织线</w:t>
                  </w:r>
                </w:p>
                <w:p w14:paraId="6D58BE46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系统支持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ab/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Windows 10/1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1</w:t>
                  </w:r>
                </w:p>
                <w:p w14:paraId="1CA94904">
                  <w:pPr>
                    <w:numPr>
                      <w:ilvl w:val="0"/>
                      <w:numId w:val="0"/>
                    </w:numPr>
                    <w:ind w:leftChars="0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</w:p>
                <w:p w14:paraId="48887F1E">
                  <w:pPr>
                    <w:numPr>
                      <w:ilvl w:val="0"/>
                      <w:numId w:val="0"/>
                    </w:numPr>
                    <w:ind w:leftChars="0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附件2：鼠标（Alienware Pro 无线游戏鼠标）参数：</w:t>
                  </w:r>
                </w:p>
                <w:p w14:paraId="0D279E63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连接方式：无线 / 有线</w:t>
                  </w:r>
                </w:p>
                <w:p w14:paraId="26230666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传感器：26,000 DPI，650 IPS，50G 加速度</w:t>
                  </w:r>
                </w:p>
                <w:p w14:paraId="796E0A10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轮询率：有线最高 8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 xml:space="preserve"> K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 xml:space="preserve">Hz，无线最高 </w:t>
                  </w: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4 K</w:t>
                  </w: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Hz</w:t>
                  </w:r>
                </w:p>
                <w:p w14:paraId="3D69469D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重量：&lt; 60 克（超轻量）</w:t>
                  </w:r>
                </w:p>
                <w:p w14:paraId="2B89F881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按键：6 个可编程按键</w:t>
                  </w:r>
                </w:p>
                <w:p w14:paraId="5A43BED0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电池续航：1,000 Hz 下约 120 小时，4,000 Hz 下约 32 小时</w:t>
                  </w:r>
                </w:p>
                <w:p w14:paraId="7DC2815F">
                  <w:pPr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default" w:ascii="宋体" w:hAnsi="宋体" w:cs="宋体"/>
                      <w:color w:val="000000"/>
                      <w:kern w:val="0"/>
                      <w:szCs w:val="21"/>
                      <w:lang w:val="en-US" w:eastAsia="zh-CN"/>
                    </w:rPr>
                    <w:t>特色：光学微动，纯 PTFE 脚垫，左右手对称设计</w:t>
                  </w:r>
                </w:p>
              </w:tc>
            </w:tr>
            <w:tr w14:paraId="38FF34B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40" w:hRule="atLeast"/>
              </w:trPr>
              <w:tc>
                <w:tcPr>
                  <w:tcW w:w="718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vAlign w:val="center"/>
                </w:tcPr>
                <w:p w14:paraId="51D69DCE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251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2360E124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质保及</w:t>
                  </w:r>
                </w:p>
                <w:p w14:paraId="165B7753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  <w:t>售后服务</w:t>
                  </w:r>
                </w:p>
              </w:tc>
              <w:tc>
                <w:tcPr>
                  <w:tcW w:w="7204" w:type="dxa"/>
                  <w:gridSpan w:val="5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center"/>
                </w:tcPr>
                <w:p w14:paraId="0481D843">
                  <w:pPr>
                    <w:widowControl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  <w:lang w:val="en-US" w:eastAsia="zh-CN"/>
                    </w:rPr>
                    <w:t>1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 xml:space="preserve">、货物必须保证原厂原装正品，不接受非原装或拆改配配置，一经发现将进行退货处理，并计入黑名单，取消其进行投标的资格。 </w:t>
                  </w:r>
                </w:p>
                <w:p w14:paraId="31095DF5">
                  <w:pPr>
                    <w:widowControl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  <w:lang w:val="en-US" w:eastAsia="zh-CN"/>
                    </w:rPr>
                    <w:t>2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、货物免费质保期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u w:val="single"/>
                      <w:shd w:val="clear" w:color="auto" w:fill="FFFFFF"/>
                    </w:rPr>
                    <w:t xml:space="preserve"> 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u w:val="single"/>
                      <w:shd w:val="clear" w:color="auto" w:fill="FFFFFF"/>
                      <w:lang w:val="en-US" w:eastAsia="zh-CN"/>
                    </w:rPr>
                    <w:t>3</w:t>
                  </w:r>
                  <w:r>
                    <w:rPr>
                      <w:rFonts w:ascii="宋体" w:hAnsi="宋体"/>
                      <w:color w:val="333333"/>
                      <w:szCs w:val="21"/>
                      <w:u w:val="single"/>
                      <w:shd w:val="clear" w:color="auto" w:fill="FFFFFF"/>
                    </w:rPr>
                    <w:t xml:space="preserve"> 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年，上门服务</w:t>
                  </w:r>
                  <w:r>
                    <w:rPr>
                      <w:rFonts w:ascii="宋体" w:hAnsi="宋体"/>
                      <w:color w:val="333333"/>
                      <w:szCs w:val="21"/>
                      <w:u w:val="single"/>
                      <w:shd w:val="clear" w:color="auto" w:fill="FFFFFF"/>
                    </w:rPr>
                    <w:t xml:space="preserve"> 5 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年，保修期内</w:t>
                  </w:r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如果有因工作站硬件问题而引起的故障，中标人应提供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  <w:lang w:val="en-US" w:eastAsia="zh-CN"/>
                    </w:rPr>
                    <w:t>1</w:t>
                  </w:r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小时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响应，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  <w:lang w:val="en-US" w:eastAsia="zh-CN"/>
                    </w:rPr>
                    <w:t>2</w:t>
                  </w:r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4小时内上门服务，对设备予以检修或更换，全部服务费和更换产品或配件的费用由中标人承担，</w:t>
                  </w:r>
                </w:p>
                <w:p w14:paraId="6CFE39B9">
                  <w:pPr>
                    <w:widowControl/>
                    <w:jc w:val="left"/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  <w:lang w:val="en-US" w:eastAsia="zh-CN"/>
                    </w:rPr>
                    <w:t>3、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中标后需上门完成Ubuntu系统安装、LXD容器配置，并提供配置说明文档。预装cuda、Python，提供Deepseek大模型本地化部署，AI智能应答，包含Claudeai Max版。</w:t>
                  </w:r>
                </w:p>
                <w:p w14:paraId="508C2E75">
                  <w:pPr>
                    <w:widowControl/>
                    <w:jc w:val="left"/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</w:pPr>
                  <w:r>
                    <w:rPr>
                      <w:rFonts w:hint="eastAsia" w:ascii="宋体" w:hAnsi="宋体" w:cs="宋体"/>
                      <w:szCs w:val="21"/>
                      <w:lang w:val="en-US" w:eastAsia="zh-CN"/>
                    </w:rPr>
                    <w:t>4、</w:t>
                  </w:r>
                  <w:r>
                    <w:rPr>
                      <w:rFonts w:hint="eastAsia" w:ascii="宋体" w:hAnsi="宋体" w:cs="宋体"/>
                      <w:szCs w:val="21"/>
                    </w:rPr>
                    <w:t>如</w:t>
                  </w:r>
                  <w:r>
                    <w:rPr>
                      <w:rFonts w:ascii="宋体" w:hAnsi="宋体"/>
                      <w:color w:val="333333"/>
                      <w:szCs w:val="21"/>
                      <w:shd w:val="clear" w:color="auto" w:fill="FFFFFF"/>
                    </w:rPr>
                    <w:t>中标人不能提供该项服务，按产品原价赔偿处理，并计入黑名单，取消期后续投标资格。</w:t>
                  </w:r>
                </w:p>
                <w:p w14:paraId="6A0F46D5">
                  <w:pPr>
                    <w:widowControl/>
                    <w:jc w:val="left"/>
                    <w:rPr>
                      <w:rFonts w:hint="eastAsia" w:ascii="宋体" w:hAnsi="宋体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  <w:lang w:val="en-US" w:eastAsia="zh-CN"/>
                    </w:rPr>
                    <w:t>5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、交货时间：中标后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  <w:lang w:val="en-US" w:eastAsia="zh-CN"/>
                    </w:rPr>
                    <w:t>7</w:t>
                  </w:r>
                  <w:r>
                    <w:rPr>
                      <w:rFonts w:hint="eastAsia" w:ascii="宋体" w:hAnsi="宋体"/>
                      <w:color w:val="333333"/>
                      <w:szCs w:val="21"/>
                      <w:shd w:val="clear" w:color="auto" w:fill="FFFFFF"/>
                    </w:rPr>
                    <w:t>个工作日内。</w:t>
                  </w:r>
                </w:p>
              </w:tc>
            </w:tr>
          </w:tbl>
          <w:p w14:paraId="7A4744FD">
            <w:pPr>
              <w:adjustRightInd w:val="0"/>
              <w:snapToGrid w:val="0"/>
              <w:spacing w:line="25" w:lineRule="atLeast"/>
              <w:rPr>
                <w:rFonts w:ascii="宋体" w:hAnsi="宋体" w:cs="仿宋"/>
                <w:b/>
                <w:bCs/>
                <w:szCs w:val="21"/>
              </w:rPr>
            </w:pPr>
          </w:p>
          <w:p w14:paraId="00663520">
            <w:pPr>
              <w:adjustRightInd w:val="0"/>
              <w:snapToGrid w:val="0"/>
              <w:spacing w:line="25" w:lineRule="atLeast"/>
              <w:rPr>
                <w:rFonts w:hint="default" w:ascii="宋体" w:hAnsi="宋体" w:eastAsia="宋体" w:cs="仿宋"/>
                <w:szCs w:val="21"/>
                <w:lang w:val="en-US" w:eastAsia="zh-CN"/>
              </w:rPr>
            </w:pPr>
          </w:p>
        </w:tc>
      </w:tr>
      <w:tr w14:paraId="3500A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0" w:hRule="atLeast"/>
          <w:jc w:val="center"/>
        </w:trPr>
        <w:tc>
          <w:tcPr>
            <w:tcW w:w="861" w:type="dxa"/>
            <w:vAlign w:val="center"/>
          </w:tcPr>
          <w:p w14:paraId="55B2B9D5">
            <w:pPr>
              <w:spacing w:line="580" w:lineRule="exact"/>
              <w:jc w:val="center"/>
              <w:rPr>
                <w:rFonts w:ascii="宋体" w:hAnsi="宋体" w:cs="仿宋"/>
                <w:szCs w:val="21"/>
              </w:rPr>
            </w:pPr>
          </w:p>
        </w:tc>
        <w:tc>
          <w:tcPr>
            <w:tcW w:w="9399" w:type="dxa"/>
            <w:gridSpan w:val="2"/>
          </w:tcPr>
          <w:p w14:paraId="57B4251D">
            <w:pPr>
              <w:adjustRightInd w:val="0"/>
              <w:snapToGrid w:val="0"/>
              <w:spacing w:line="25" w:lineRule="atLeast"/>
              <w:rPr>
                <w:rFonts w:ascii="宋体" w:hAnsi="宋体" w:cs="仿宋"/>
                <w:kern w:val="0"/>
                <w:szCs w:val="21"/>
              </w:rPr>
            </w:pPr>
            <w:bookmarkStart w:id="0" w:name="_GoBack"/>
            <w:bookmarkEnd w:id="0"/>
          </w:p>
        </w:tc>
      </w:tr>
    </w:tbl>
    <w:p w14:paraId="754BE2C0"/>
    <w:sectPr>
      <w:footerReference r:id="rId3" w:type="default"/>
      <w:pgSz w:w="11906" w:h="16838"/>
      <w:pgMar w:top="1134" w:right="942" w:bottom="1134" w:left="884" w:header="851" w:footer="74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19759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EC68D16"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AaKjbh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C68D16">
                    <w:pPr>
                      <w:pStyle w:val="5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4044DF"/>
    <w:multiLevelType w:val="singleLevel"/>
    <w:tmpl w:val="1C4044DF"/>
    <w:lvl w:ilvl="0" w:tentative="0">
      <w:start w:val="1"/>
      <w:numFmt w:val="bullet"/>
      <w:suff w:val="space"/>
      <w:lvlText w:val=""/>
      <w:lvlJc w:val="left"/>
      <w:pPr>
        <w:ind w:left="420" w:hanging="420"/>
      </w:pPr>
      <w:rPr>
        <w:rFonts w:hint="default" w:ascii="Wingdings" w:hAnsi="Wingdings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16216D"/>
    <w:rsid w:val="00030013"/>
    <w:rsid w:val="00075F5C"/>
    <w:rsid w:val="000C12FB"/>
    <w:rsid w:val="000E6255"/>
    <w:rsid w:val="001037B8"/>
    <w:rsid w:val="00164884"/>
    <w:rsid w:val="001D6CAB"/>
    <w:rsid w:val="001E467F"/>
    <w:rsid w:val="002012F7"/>
    <w:rsid w:val="002B74AF"/>
    <w:rsid w:val="002D6C7F"/>
    <w:rsid w:val="003600F8"/>
    <w:rsid w:val="003766CD"/>
    <w:rsid w:val="00380040"/>
    <w:rsid w:val="003A0420"/>
    <w:rsid w:val="003A2B13"/>
    <w:rsid w:val="003B0863"/>
    <w:rsid w:val="003B1F54"/>
    <w:rsid w:val="003C5C5E"/>
    <w:rsid w:val="003C6D7E"/>
    <w:rsid w:val="00405435"/>
    <w:rsid w:val="004B3E0E"/>
    <w:rsid w:val="004F5EFD"/>
    <w:rsid w:val="0052052B"/>
    <w:rsid w:val="005206ED"/>
    <w:rsid w:val="0058657D"/>
    <w:rsid w:val="005A331F"/>
    <w:rsid w:val="005A4D09"/>
    <w:rsid w:val="0060641D"/>
    <w:rsid w:val="00614A78"/>
    <w:rsid w:val="0063284C"/>
    <w:rsid w:val="00634B07"/>
    <w:rsid w:val="00687954"/>
    <w:rsid w:val="00707725"/>
    <w:rsid w:val="00751D9F"/>
    <w:rsid w:val="007530FF"/>
    <w:rsid w:val="00781C05"/>
    <w:rsid w:val="00791717"/>
    <w:rsid w:val="007E0373"/>
    <w:rsid w:val="007E13A8"/>
    <w:rsid w:val="007E55C2"/>
    <w:rsid w:val="0081714A"/>
    <w:rsid w:val="00823763"/>
    <w:rsid w:val="008472DC"/>
    <w:rsid w:val="0085792B"/>
    <w:rsid w:val="0090368E"/>
    <w:rsid w:val="00922E74"/>
    <w:rsid w:val="009232F1"/>
    <w:rsid w:val="00953A6F"/>
    <w:rsid w:val="00957D68"/>
    <w:rsid w:val="00963362"/>
    <w:rsid w:val="0098778F"/>
    <w:rsid w:val="00997047"/>
    <w:rsid w:val="009D0AC4"/>
    <w:rsid w:val="009E32E3"/>
    <w:rsid w:val="009E557B"/>
    <w:rsid w:val="00A22BF8"/>
    <w:rsid w:val="00A30500"/>
    <w:rsid w:val="00A45047"/>
    <w:rsid w:val="00A63FF8"/>
    <w:rsid w:val="00AA6739"/>
    <w:rsid w:val="00AB7016"/>
    <w:rsid w:val="00AC4E4C"/>
    <w:rsid w:val="00B061FF"/>
    <w:rsid w:val="00B14773"/>
    <w:rsid w:val="00B91200"/>
    <w:rsid w:val="00BB577C"/>
    <w:rsid w:val="00C0607C"/>
    <w:rsid w:val="00C16A87"/>
    <w:rsid w:val="00C244A4"/>
    <w:rsid w:val="00C34814"/>
    <w:rsid w:val="00CB3666"/>
    <w:rsid w:val="00CB70B4"/>
    <w:rsid w:val="00CD4677"/>
    <w:rsid w:val="00D46721"/>
    <w:rsid w:val="00D55A4E"/>
    <w:rsid w:val="00DA296D"/>
    <w:rsid w:val="00DF0C49"/>
    <w:rsid w:val="00E15833"/>
    <w:rsid w:val="00E20F08"/>
    <w:rsid w:val="00E52179"/>
    <w:rsid w:val="00E9329F"/>
    <w:rsid w:val="00EC39DD"/>
    <w:rsid w:val="00ED2D76"/>
    <w:rsid w:val="00F45C4F"/>
    <w:rsid w:val="00FB6E3F"/>
    <w:rsid w:val="01B44A19"/>
    <w:rsid w:val="01F66F12"/>
    <w:rsid w:val="020016E9"/>
    <w:rsid w:val="045C30BF"/>
    <w:rsid w:val="0556517D"/>
    <w:rsid w:val="059D3E1F"/>
    <w:rsid w:val="06E25862"/>
    <w:rsid w:val="072054B4"/>
    <w:rsid w:val="0736789C"/>
    <w:rsid w:val="07370A3C"/>
    <w:rsid w:val="07671B2D"/>
    <w:rsid w:val="078F21F4"/>
    <w:rsid w:val="07F516C7"/>
    <w:rsid w:val="08823A68"/>
    <w:rsid w:val="08E72E3C"/>
    <w:rsid w:val="08EC02A7"/>
    <w:rsid w:val="093478BD"/>
    <w:rsid w:val="0A066BEA"/>
    <w:rsid w:val="0B357ECF"/>
    <w:rsid w:val="0B74129F"/>
    <w:rsid w:val="0BB4327E"/>
    <w:rsid w:val="0C3C1311"/>
    <w:rsid w:val="0C5965C6"/>
    <w:rsid w:val="0C987BDE"/>
    <w:rsid w:val="0DDA12EE"/>
    <w:rsid w:val="0E06452B"/>
    <w:rsid w:val="0EB95E00"/>
    <w:rsid w:val="0ED77D7C"/>
    <w:rsid w:val="0FDA17CC"/>
    <w:rsid w:val="10036E45"/>
    <w:rsid w:val="100F62B4"/>
    <w:rsid w:val="105028C4"/>
    <w:rsid w:val="11242FFA"/>
    <w:rsid w:val="116D683F"/>
    <w:rsid w:val="11D328A9"/>
    <w:rsid w:val="11EC5F40"/>
    <w:rsid w:val="13111E71"/>
    <w:rsid w:val="13A416F8"/>
    <w:rsid w:val="13F24ADB"/>
    <w:rsid w:val="13FF15DB"/>
    <w:rsid w:val="14135C15"/>
    <w:rsid w:val="14411E19"/>
    <w:rsid w:val="14AB7BDB"/>
    <w:rsid w:val="153718E0"/>
    <w:rsid w:val="16E51EF6"/>
    <w:rsid w:val="1733680E"/>
    <w:rsid w:val="1774685B"/>
    <w:rsid w:val="17EA0810"/>
    <w:rsid w:val="18B94343"/>
    <w:rsid w:val="19A13C27"/>
    <w:rsid w:val="1A3E2423"/>
    <w:rsid w:val="1B2B5F1A"/>
    <w:rsid w:val="1B300E3A"/>
    <w:rsid w:val="1B811F55"/>
    <w:rsid w:val="1BE750CE"/>
    <w:rsid w:val="1C564C27"/>
    <w:rsid w:val="1D4655EF"/>
    <w:rsid w:val="1D5E7ABB"/>
    <w:rsid w:val="1DC25111"/>
    <w:rsid w:val="1E1A2E52"/>
    <w:rsid w:val="1E4D582D"/>
    <w:rsid w:val="1EAB7BC5"/>
    <w:rsid w:val="1EB82AC6"/>
    <w:rsid w:val="1EDF37FD"/>
    <w:rsid w:val="1EE94B56"/>
    <w:rsid w:val="22C343E9"/>
    <w:rsid w:val="249F2722"/>
    <w:rsid w:val="25707585"/>
    <w:rsid w:val="26296BB1"/>
    <w:rsid w:val="27216AB3"/>
    <w:rsid w:val="279050AE"/>
    <w:rsid w:val="27A2499D"/>
    <w:rsid w:val="27AC0C48"/>
    <w:rsid w:val="27F4603B"/>
    <w:rsid w:val="28802080"/>
    <w:rsid w:val="2A341545"/>
    <w:rsid w:val="2BC47471"/>
    <w:rsid w:val="2C0B2FE1"/>
    <w:rsid w:val="2C286A51"/>
    <w:rsid w:val="30347DA4"/>
    <w:rsid w:val="30845E09"/>
    <w:rsid w:val="30A33395"/>
    <w:rsid w:val="31523BB7"/>
    <w:rsid w:val="318E4F82"/>
    <w:rsid w:val="31F2254D"/>
    <w:rsid w:val="32BA5E58"/>
    <w:rsid w:val="332F794B"/>
    <w:rsid w:val="337309C8"/>
    <w:rsid w:val="338F2E8B"/>
    <w:rsid w:val="33F57719"/>
    <w:rsid w:val="35010A70"/>
    <w:rsid w:val="35394C6C"/>
    <w:rsid w:val="356E0E27"/>
    <w:rsid w:val="3628569A"/>
    <w:rsid w:val="368B67B6"/>
    <w:rsid w:val="37E229A2"/>
    <w:rsid w:val="37F1294A"/>
    <w:rsid w:val="381955DF"/>
    <w:rsid w:val="3826761B"/>
    <w:rsid w:val="391544CC"/>
    <w:rsid w:val="3A6F1D0B"/>
    <w:rsid w:val="3B3F2899"/>
    <w:rsid w:val="3B5E6C0E"/>
    <w:rsid w:val="3BCA1273"/>
    <w:rsid w:val="3BD84A69"/>
    <w:rsid w:val="3CFE440F"/>
    <w:rsid w:val="3D641E1A"/>
    <w:rsid w:val="3DA318F4"/>
    <w:rsid w:val="40094299"/>
    <w:rsid w:val="40321F76"/>
    <w:rsid w:val="40994C08"/>
    <w:rsid w:val="41113062"/>
    <w:rsid w:val="41491B81"/>
    <w:rsid w:val="41664974"/>
    <w:rsid w:val="41BD725D"/>
    <w:rsid w:val="41CE1714"/>
    <w:rsid w:val="41D5099A"/>
    <w:rsid w:val="425C3C65"/>
    <w:rsid w:val="42E75DA4"/>
    <w:rsid w:val="43766B18"/>
    <w:rsid w:val="4380041C"/>
    <w:rsid w:val="43844BF2"/>
    <w:rsid w:val="443360C3"/>
    <w:rsid w:val="449000D0"/>
    <w:rsid w:val="461E5D64"/>
    <w:rsid w:val="46431172"/>
    <w:rsid w:val="46AF5E23"/>
    <w:rsid w:val="48FF5AB5"/>
    <w:rsid w:val="496B0B51"/>
    <w:rsid w:val="49E7076B"/>
    <w:rsid w:val="4A104776"/>
    <w:rsid w:val="4A297CEE"/>
    <w:rsid w:val="4A6E6FAC"/>
    <w:rsid w:val="4A873D19"/>
    <w:rsid w:val="4CEF41E3"/>
    <w:rsid w:val="4DB9524F"/>
    <w:rsid w:val="4E4C0944"/>
    <w:rsid w:val="50033E4B"/>
    <w:rsid w:val="50652AB7"/>
    <w:rsid w:val="50FF16DC"/>
    <w:rsid w:val="516D4F7B"/>
    <w:rsid w:val="51E63B33"/>
    <w:rsid w:val="5316216D"/>
    <w:rsid w:val="5359268A"/>
    <w:rsid w:val="548B6D17"/>
    <w:rsid w:val="54CC7CF5"/>
    <w:rsid w:val="558359F0"/>
    <w:rsid w:val="56613E16"/>
    <w:rsid w:val="566E729C"/>
    <w:rsid w:val="57B6524C"/>
    <w:rsid w:val="58187A34"/>
    <w:rsid w:val="585F6E8B"/>
    <w:rsid w:val="58E3481A"/>
    <w:rsid w:val="5969605C"/>
    <w:rsid w:val="5B8B365C"/>
    <w:rsid w:val="5BDF4D2F"/>
    <w:rsid w:val="5C2E5813"/>
    <w:rsid w:val="5C352779"/>
    <w:rsid w:val="5D094455"/>
    <w:rsid w:val="5DB07479"/>
    <w:rsid w:val="5EA127FF"/>
    <w:rsid w:val="5FD1441B"/>
    <w:rsid w:val="5FEB22A1"/>
    <w:rsid w:val="5FF94F03"/>
    <w:rsid w:val="603911C4"/>
    <w:rsid w:val="60C9322F"/>
    <w:rsid w:val="62051CA5"/>
    <w:rsid w:val="6274183B"/>
    <w:rsid w:val="62772D70"/>
    <w:rsid w:val="633352D4"/>
    <w:rsid w:val="63AB23D8"/>
    <w:rsid w:val="64314B8F"/>
    <w:rsid w:val="648A08FA"/>
    <w:rsid w:val="66252342"/>
    <w:rsid w:val="6A8D497E"/>
    <w:rsid w:val="6AD278FD"/>
    <w:rsid w:val="6AE24D76"/>
    <w:rsid w:val="6BCA5FDD"/>
    <w:rsid w:val="6C272C27"/>
    <w:rsid w:val="6C375195"/>
    <w:rsid w:val="6C6140C3"/>
    <w:rsid w:val="6CCC4972"/>
    <w:rsid w:val="6D1F2096"/>
    <w:rsid w:val="6D2903D4"/>
    <w:rsid w:val="6D44662E"/>
    <w:rsid w:val="6D711C78"/>
    <w:rsid w:val="6DCB152C"/>
    <w:rsid w:val="6FB63EDE"/>
    <w:rsid w:val="719462DB"/>
    <w:rsid w:val="71955E04"/>
    <w:rsid w:val="71B81BBB"/>
    <w:rsid w:val="72257000"/>
    <w:rsid w:val="72A914D2"/>
    <w:rsid w:val="72CB25D7"/>
    <w:rsid w:val="72F03939"/>
    <w:rsid w:val="73001622"/>
    <w:rsid w:val="739F0DB6"/>
    <w:rsid w:val="73CB1207"/>
    <w:rsid w:val="73D019E7"/>
    <w:rsid w:val="743D2668"/>
    <w:rsid w:val="76243538"/>
    <w:rsid w:val="766C430E"/>
    <w:rsid w:val="76FA74E2"/>
    <w:rsid w:val="775070C7"/>
    <w:rsid w:val="78034B3A"/>
    <w:rsid w:val="78641A7A"/>
    <w:rsid w:val="786A6CBB"/>
    <w:rsid w:val="78D6107E"/>
    <w:rsid w:val="79933AC6"/>
    <w:rsid w:val="79BB09AD"/>
    <w:rsid w:val="79EE3BE5"/>
    <w:rsid w:val="7A244B01"/>
    <w:rsid w:val="7A805F15"/>
    <w:rsid w:val="7B133944"/>
    <w:rsid w:val="7B4C2539"/>
    <w:rsid w:val="7B7D06A6"/>
    <w:rsid w:val="7C15268D"/>
    <w:rsid w:val="7C625B36"/>
    <w:rsid w:val="7C653614"/>
    <w:rsid w:val="7D964271"/>
    <w:rsid w:val="7E352188"/>
    <w:rsid w:val="7FE60EA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8"/>
    <w:qFormat/>
    <w:uiPriority w:val="0"/>
    <w:pPr>
      <w:jc w:val="left"/>
    </w:pPr>
  </w:style>
  <w:style w:type="paragraph" w:styleId="4">
    <w:name w:val="Balloon Text"/>
    <w:basedOn w:val="1"/>
    <w:link w:val="30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annotation subject"/>
    <w:basedOn w:val="3"/>
    <w:next w:val="3"/>
    <w:link w:val="29"/>
    <w:qFormat/>
    <w:uiPriority w:val="0"/>
    <w:rPr>
      <w:b/>
      <w:bCs/>
    </w:rPr>
  </w:style>
  <w:style w:type="character" w:styleId="10">
    <w:name w:val="Strong"/>
    <w:basedOn w:val="9"/>
    <w:qFormat/>
    <w:uiPriority w:val="0"/>
  </w:style>
  <w:style w:type="character" w:styleId="11">
    <w:name w:val="FollowedHyperlink"/>
    <w:basedOn w:val="9"/>
    <w:qFormat/>
    <w:uiPriority w:val="0"/>
    <w:rPr>
      <w:rFonts w:hint="eastAsia" w:ascii="宋体" w:hAnsi="宋体" w:eastAsia="宋体" w:cs="宋体"/>
      <w:color w:val="0031C1"/>
      <w:sz w:val="18"/>
      <w:szCs w:val="18"/>
      <w:u w:val="non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</w:style>
  <w:style w:type="character" w:styleId="14">
    <w:name w:val="HTML Typewriter"/>
    <w:basedOn w:val="9"/>
    <w:qFormat/>
    <w:uiPriority w:val="0"/>
    <w:rPr>
      <w:rFonts w:hint="default" w:ascii="monospace" w:hAnsi="monospace" w:eastAsia="monospace" w:cs="monospace"/>
      <w:sz w:val="20"/>
    </w:rPr>
  </w:style>
  <w:style w:type="character" w:styleId="15">
    <w:name w:val="HTML Acronym"/>
    <w:basedOn w:val="9"/>
    <w:qFormat/>
    <w:uiPriority w:val="0"/>
  </w:style>
  <w:style w:type="character" w:styleId="16">
    <w:name w:val="HTML Variable"/>
    <w:basedOn w:val="9"/>
    <w:qFormat/>
    <w:uiPriority w:val="0"/>
  </w:style>
  <w:style w:type="character" w:styleId="17">
    <w:name w:val="Hyperlink"/>
    <w:basedOn w:val="9"/>
    <w:qFormat/>
    <w:uiPriority w:val="0"/>
    <w:rPr>
      <w:rFonts w:hint="eastAsia" w:ascii="宋体" w:hAnsi="宋体" w:eastAsia="宋体" w:cs="宋体"/>
      <w:color w:val="0031C1"/>
      <w:sz w:val="18"/>
      <w:szCs w:val="18"/>
      <w:u w:val="none"/>
    </w:rPr>
  </w:style>
  <w:style w:type="character" w:styleId="18">
    <w:name w:val="HTML Code"/>
    <w:basedOn w:val="9"/>
    <w:qFormat/>
    <w:uiPriority w:val="0"/>
    <w:rPr>
      <w:rFonts w:ascii="monospace" w:hAnsi="monospace" w:eastAsia="monospace" w:cs="monospace"/>
      <w:sz w:val="20"/>
    </w:rPr>
  </w:style>
  <w:style w:type="character" w:styleId="19">
    <w:name w:val="annotation reference"/>
    <w:basedOn w:val="9"/>
    <w:qFormat/>
    <w:uiPriority w:val="0"/>
    <w:rPr>
      <w:sz w:val="21"/>
      <w:szCs w:val="21"/>
    </w:rPr>
  </w:style>
  <w:style w:type="character" w:styleId="20">
    <w:name w:val="HTML Cite"/>
    <w:basedOn w:val="9"/>
    <w:qFormat/>
    <w:uiPriority w:val="0"/>
  </w:style>
  <w:style w:type="character" w:styleId="21">
    <w:name w:val="HTML Keyboard"/>
    <w:basedOn w:val="9"/>
    <w:qFormat/>
    <w:uiPriority w:val="0"/>
    <w:rPr>
      <w:rFonts w:hint="default" w:ascii="monospace" w:hAnsi="monospace" w:eastAsia="monospace" w:cs="monospace"/>
      <w:sz w:val="20"/>
    </w:rPr>
  </w:style>
  <w:style w:type="character" w:styleId="22">
    <w:name w:val="HTML Sample"/>
    <w:basedOn w:val="9"/>
    <w:qFormat/>
    <w:uiPriority w:val="0"/>
    <w:rPr>
      <w:rFonts w:hint="default" w:ascii="monospace" w:hAnsi="monospace" w:eastAsia="monospace" w:cs="monospace"/>
    </w:rPr>
  </w:style>
  <w:style w:type="character" w:customStyle="1" w:styleId="23">
    <w:name w:val="fielderror"/>
    <w:basedOn w:val="9"/>
    <w:qFormat/>
    <w:uiPriority w:val="0"/>
    <w:rPr>
      <w:color w:val="800000"/>
    </w:rPr>
  </w:style>
  <w:style w:type="character" w:customStyle="1" w:styleId="24">
    <w:name w:val="hilite6"/>
    <w:basedOn w:val="9"/>
    <w:qFormat/>
    <w:uiPriority w:val="0"/>
    <w:rPr>
      <w:color w:val="000000"/>
    </w:rPr>
  </w:style>
  <w:style w:type="character" w:customStyle="1" w:styleId="25">
    <w:name w:val="active6"/>
    <w:basedOn w:val="9"/>
    <w:qFormat/>
    <w:uiPriority w:val="0"/>
    <w:rPr>
      <w:color w:val="FFFFFF"/>
    </w:rPr>
  </w:style>
  <w:style w:type="character" w:customStyle="1" w:styleId="26">
    <w:name w:val="hilite"/>
    <w:basedOn w:val="9"/>
    <w:qFormat/>
    <w:uiPriority w:val="0"/>
    <w:rPr>
      <w:color w:val="000000"/>
    </w:rPr>
  </w:style>
  <w:style w:type="character" w:customStyle="1" w:styleId="27">
    <w:name w:val="active"/>
    <w:basedOn w:val="9"/>
    <w:qFormat/>
    <w:uiPriority w:val="0"/>
    <w:rPr>
      <w:color w:val="FFFFFF"/>
    </w:rPr>
  </w:style>
  <w:style w:type="character" w:customStyle="1" w:styleId="28">
    <w:name w:val="批注文字 字符"/>
    <w:basedOn w:val="9"/>
    <w:link w:val="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9">
    <w:name w:val="批注主题 字符"/>
    <w:basedOn w:val="28"/>
    <w:link w:val="7"/>
    <w:qFormat/>
    <w:uiPriority w:val="0"/>
    <w:rPr>
      <w:rFonts w:ascii="Calibri" w:hAnsi="Calibri"/>
      <w:b/>
      <w:bCs/>
      <w:kern w:val="2"/>
      <w:sz w:val="21"/>
      <w:szCs w:val="22"/>
    </w:rPr>
  </w:style>
  <w:style w:type="character" w:customStyle="1" w:styleId="30">
    <w:name w:val="批注框文本 字符"/>
    <w:basedOn w:val="9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1">
    <w:name w:val="layui-layer-tabnow"/>
    <w:basedOn w:val="9"/>
    <w:qFormat/>
    <w:uiPriority w:val="0"/>
    <w:rPr>
      <w:bdr w:val="single" w:color="CCCCCC" w:sz="6" w:space="0"/>
      <w:shd w:val="clear" w:color="auto" w:fill="FFFFFF"/>
    </w:rPr>
  </w:style>
  <w:style w:type="character" w:customStyle="1" w:styleId="32">
    <w:name w:val="hover11"/>
    <w:basedOn w:val="9"/>
    <w:qFormat/>
    <w:uiPriority w:val="0"/>
    <w:rPr>
      <w:color w:val="FFFFFF"/>
    </w:rPr>
  </w:style>
  <w:style w:type="character" w:customStyle="1" w:styleId="33">
    <w:name w:val="hover12"/>
    <w:basedOn w:val="9"/>
    <w:qFormat/>
    <w:uiPriority w:val="0"/>
    <w:rPr>
      <w:color w:val="5FB878"/>
    </w:rPr>
  </w:style>
  <w:style w:type="character" w:customStyle="1" w:styleId="34">
    <w:name w:val="hover13"/>
    <w:basedOn w:val="9"/>
    <w:qFormat/>
    <w:uiPriority w:val="0"/>
    <w:rPr>
      <w:color w:val="5FB878"/>
    </w:rPr>
  </w:style>
  <w:style w:type="character" w:customStyle="1" w:styleId="35">
    <w:name w:val="first-child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1084</Words>
  <Characters>1502</Characters>
  <Lines>5</Lines>
  <Paragraphs>1</Paragraphs>
  <TotalTime>1</TotalTime>
  <ScaleCrop>false</ScaleCrop>
  <LinksUpToDate>false</LinksUpToDate>
  <CharactersWithSpaces>1696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2024-11-20T01:39:00Z</dcterms:created>
  <dc:creator>YanYan海</dc:creator>
  <cp:lastModifiedBy>Simone Li</cp:lastModifiedBy>
  <cp:lastPrinted>2019-01-04T06:58:00Z</cp:lastPrinted>
  <dcterms:modified xsi:type="dcterms:W3CDTF">2026-10-12T03:44:20Z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64B1E4ADE009499CA23C7FBF9F9A67B1_13</vt:lpwstr>
  </property>
  <property fmtid="{D5CDD505-2E9C-101B-9397-08002B2CF9AE}" pid="4" name="KSOTemplateDocerSaveRecord">
    <vt:lpwstr>eyJoZGlkIjoiMDA3YmEyNjZiOGIxY2FlODQ5MjYwMTllY2YwNTJlMzUiLCJ1c2VySWQiOiI0NTM3MzIyNjAifQ==</vt:lpwstr>
  </property>
</Properties>
</file>