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A5FB1">
      <w:pPr>
        <w:jc w:val="center"/>
        <w:rPr>
          <w:b/>
          <w:sz w:val="32"/>
          <w:szCs w:val="32"/>
        </w:rPr>
      </w:pPr>
      <w:r>
        <w:rPr>
          <w:rFonts w:hint="eastAsia"/>
          <w:b/>
          <w:sz w:val="32"/>
          <w:szCs w:val="32"/>
        </w:rPr>
        <w:t>高性能工作站采购</w:t>
      </w:r>
    </w:p>
    <w:p w14:paraId="4B733095">
      <w:pPr>
        <w:jc w:val="center"/>
        <w:rPr>
          <w:b/>
          <w:sz w:val="32"/>
          <w:szCs w:val="32"/>
        </w:rPr>
      </w:pPr>
      <w:r>
        <w:rPr>
          <w:rFonts w:hint="eastAsia"/>
          <w:b/>
          <w:sz w:val="32"/>
          <w:szCs w:val="32"/>
        </w:rPr>
        <w:t>需求文件</w:t>
      </w:r>
    </w:p>
    <w:p w14:paraId="3B791D76">
      <w:pPr>
        <w:rPr>
          <w:rFonts w:ascii="仿宋" w:hAnsi="仿宋" w:eastAsia="仿宋"/>
          <w:sz w:val="28"/>
          <w:szCs w:val="28"/>
        </w:rPr>
      </w:pPr>
      <w:r>
        <w:rPr>
          <w:rFonts w:hint="eastAsia"/>
          <w:b/>
          <w:sz w:val="32"/>
          <w:szCs w:val="32"/>
        </w:rPr>
        <w:t xml:space="preserve"> </w:t>
      </w:r>
      <w:r>
        <w:rPr>
          <w:b/>
          <w:sz w:val="32"/>
          <w:szCs w:val="32"/>
        </w:rPr>
        <w:t xml:space="preserve"> </w:t>
      </w:r>
      <w:r>
        <w:rPr>
          <w:rFonts w:ascii="仿宋" w:hAnsi="仿宋" w:eastAsia="仿宋"/>
          <w:sz w:val="28"/>
          <w:szCs w:val="28"/>
        </w:rPr>
        <w:t xml:space="preserve">  </w:t>
      </w:r>
      <w:r>
        <w:rPr>
          <w:rFonts w:hint="eastAsia" w:ascii="仿宋" w:hAnsi="仿宋" w:eastAsia="仿宋"/>
          <w:sz w:val="28"/>
          <w:szCs w:val="28"/>
        </w:rPr>
        <w:t>为了满足科研及教学需求，现需要采购</w:t>
      </w:r>
      <w:r>
        <w:rPr>
          <w:rFonts w:ascii="仿宋" w:hAnsi="仿宋" w:eastAsia="仿宋"/>
          <w:sz w:val="28"/>
          <w:szCs w:val="28"/>
          <w:u w:val="single"/>
        </w:rPr>
        <w:t xml:space="preserve">  </w:t>
      </w:r>
      <w:r>
        <w:rPr>
          <w:rFonts w:hint="eastAsia" w:ascii="仿宋" w:hAnsi="仿宋" w:eastAsia="仿宋"/>
          <w:sz w:val="28"/>
          <w:szCs w:val="28"/>
          <w:u w:val="single"/>
          <w:lang w:val="en-US" w:eastAsia="zh-CN"/>
        </w:rPr>
        <w:t>2</w:t>
      </w:r>
      <w:r>
        <w:rPr>
          <w:rFonts w:ascii="仿宋" w:hAnsi="仿宋" w:eastAsia="仿宋"/>
          <w:sz w:val="28"/>
          <w:szCs w:val="28"/>
          <w:u w:val="single"/>
        </w:rPr>
        <w:t xml:space="preserve">  </w:t>
      </w:r>
      <w:r>
        <w:rPr>
          <w:rFonts w:hint="eastAsia" w:ascii="仿宋" w:hAnsi="仿宋" w:eastAsia="仿宋"/>
          <w:sz w:val="28"/>
          <w:szCs w:val="28"/>
        </w:rPr>
        <w:t>台高性能工作站，预算总价为</w:t>
      </w:r>
      <w:r>
        <w:rPr>
          <w:rFonts w:ascii="仿宋" w:hAnsi="仿宋" w:eastAsia="仿宋"/>
          <w:sz w:val="28"/>
          <w:szCs w:val="28"/>
          <w:u w:val="single"/>
        </w:rPr>
        <w:t xml:space="preserve">  </w:t>
      </w:r>
      <w:r>
        <w:rPr>
          <w:rFonts w:hint="eastAsia" w:ascii="仿宋" w:hAnsi="仿宋" w:eastAsia="仿宋"/>
          <w:sz w:val="28"/>
          <w:szCs w:val="28"/>
          <w:u w:val="single"/>
        </w:rPr>
        <w:t xml:space="preserve">25000   </w:t>
      </w:r>
      <w:r>
        <w:rPr>
          <w:rFonts w:hint="eastAsia" w:ascii="仿宋" w:hAnsi="仿宋" w:eastAsia="仿宋"/>
          <w:sz w:val="28"/>
          <w:szCs w:val="28"/>
        </w:rPr>
        <w:t>元，以下为设备需求文件：</w:t>
      </w:r>
    </w:p>
    <w:tbl>
      <w:tblPr>
        <w:tblStyle w:val="9"/>
        <w:tblW w:w="9073"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276"/>
        <w:gridCol w:w="3969"/>
        <w:gridCol w:w="992"/>
        <w:gridCol w:w="567"/>
        <w:gridCol w:w="567"/>
        <w:gridCol w:w="992"/>
      </w:tblGrid>
      <w:tr w14:paraId="3AB73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10" w:type="dxa"/>
            <w:vAlign w:val="center"/>
          </w:tcPr>
          <w:p w14:paraId="0C30222E">
            <w:pPr>
              <w:jc w:val="center"/>
              <w:rPr>
                <w:rFonts w:ascii="Times New Roman" w:hAnsi="Times New Roman" w:eastAsia="宋体" w:cs="Times New Roman"/>
                <w:b/>
                <w:sz w:val="22"/>
                <w:szCs w:val="28"/>
              </w:rPr>
            </w:pPr>
            <w:r>
              <w:rPr>
                <w:rFonts w:ascii="Times New Roman" w:hAnsi="Times New Roman" w:eastAsia="宋体" w:cs="Times New Roman"/>
                <w:b/>
                <w:sz w:val="22"/>
                <w:szCs w:val="28"/>
              </w:rPr>
              <w:t>序号</w:t>
            </w:r>
          </w:p>
        </w:tc>
        <w:tc>
          <w:tcPr>
            <w:tcW w:w="1276" w:type="dxa"/>
            <w:vAlign w:val="center"/>
          </w:tcPr>
          <w:p w14:paraId="2D9BF03D">
            <w:pPr>
              <w:jc w:val="center"/>
              <w:rPr>
                <w:rFonts w:ascii="Times New Roman" w:hAnsi="Times New Roman" w:eastAsia="宋体" w:cs="Times New Roman"/>
                <w:b/>
                <w:sz w:val="22"/>
                <w:szCs w:val="28"/>
              </w:rPr>
            </w:pPr>
            <w:r>
              <w:rPr>
                <w:rFonts w:ascii="Times New Roman" w:hAnsi="Times New Roman" w:eastAsia="宋体" w:cs="Times New Roman"/>
                <w:b/>
                <w:sz w:val="22"/>
                <w:szCs w:val="28"/>
              </w:rPr>
              <w:t>商品</w:t>
            </w:r>
          </w:p>
          <w:p w14:paraId="525C3079">
            <w:pPr>
              <w:jc w:val="center"/>
              <w:rPr>
                <w:rFonts w:ascii="Times New Roman" w:hAnsi="Times New Roman" w:eastAsia="宋体" w:cs="Times New Roman"/>
                <w:b/>
                <w:sz w:val="22"/>
                <w:szCs w:val="28"/>
              </w:rPr>
            </w:pPr>
            <w:r>
              <w:rPr>
                <w:rFonts w:ascii="Times New Roman" w:hAnsi="Times New Roman" w:eastAsia="宋体" w:cs="Times New Roman"/>
                <w:b/>
                <w:sz w:val="22"/>
                <w:szCs w:val="28"/>
              </w:rPr>
              <w:t>名称</w:t>
            </w:r>
          </w:p>
        </w:tc>
        <w:tc>
          <w:tcPr>
            <w:tcW w:w="3969" w:type="dxa"/>
            <w:vAlign w:val="center"/>
          </w:tcPr>
          <w:p w14:paraId="35BC6368">
            <w:pPr>
              <w:jc w:val="center"/>
              <w:rPr>
                <w:rFonts w:ascii="Times New Roman" w:hAnsi="Times New Roman" w:eastAsia="宋体" w:cs="Times New Roman"/>
                <w:b/>
                <w:sz w:val="22"/>
                <w:szCs w:val="28"/>
              </w:rPr>
            </w:pPr>
            <w:r>
              <w:rPr>
                <w:rFonts w:hint="eastAsia" w:ascii="Times New Roman" w:hAnsi="Times New Roman" w:eastAsia="宋体" w:cs="Times New Roman"/>
                <w:b/>
                <w:sz w:val="22"/>
                <w:szCs w:val="28"/>
              </w:rPr>
              <w:t>规格参数</w:t>
            </w:r>
          </w:p>
        </w:tc>
        <w:tc>
          <w:tcPr>
            <w:tcW w:w="992" w:type="dxa"/>
            <w:vAlign w:val="center"/>
          </w:tcPr>
          <w:p w14:paraId="173E5145">
            <w:pPr>
              <w:jc w:val="center"/>
              <w:rPr>
                <w:rFonts w:ascii="Times New Roman" w:hAnsi="Times New Roman" w:eastAsia="宋体" w:cs="Times New Roman"/>
                <w:b/>
                <w:sz w:val="22"/>
                <w:szCs w:val="28"/>
              </w:rPr>
            </w:pPr>
            <w:r>
              <w:rPr>
                <w:rFonts w:ascii="Times New Roman" w:hAnsi="Times New Roman" w:eastAsia="宋体" w:cs="Times New Roman"/>
                <w:b/>
                <w:sz w:val="22"/>
                <w:szCs w:val="28"/>
              </w:rPr>
              <w:t>预算</w:t>
            </w:r>
          </w:p>
          <w:p w14:paraId="4CC0784A">
            <w:pPr>
              <w:jc w:val="center"/>
              <w:rPr>
                <w:rFonts w:ascii="Times New Roman" w:hAnsi="Times New Roman" w:eastAsia="宋体" w:cs="Times New Roman"/>
                <w:b/>
                <w:sz w:val="22"/>
                <w:szCs w:val="28"/>
              </w:rPr>
            </w:pPr>
            <w:r>
              <w:rPr>
                <w:rFonts w:ascii="Times New Roman" w:hAnsi="Times New Roman" w:eastAsia="宋体" w:cs="Times New Roman"/>
                <w:b/>
                <w:sz w:val="22"/>
                <w:szCs w:val="28"/>
              </w:rPr>
              <w:t>单价（元）</w:t>
            </w:r>
          </w:p>
        </w:tc>
        <w:tc>
          <w:tcPr>
            <w:tcW w:w="567" w:type="dxa"/>
            <w:vAlign w:val="center"/>
          </w:tcPr>
          <w:p w14:paraId="0ED39FE1">
            <w:pPr>
              <w:jc w:val="center"/>
              <w:rPr>
                <w:rFonts w:ascii="Times New Roman" w:hAnsi="Times New Roman" w:eastAsia="宋体" w:cs="Times New Roman"/>
                <w:b/>
                <w:sz w:val="22"/>
                <w:szCs w:val="28"/>
              </w:rPr>
            </w:pPr>
            <w:r>
              <w:rPr>
                <w:rFonts w:ascii="Times New Roman" w:hAnsi="Times New Roman" w:eastAsia="宋体" w:cs="Times New Roman"/>
                <w:b/>
                <w:sz w:val="22"/>
                <w:szCs w:val="28"/>
              </w:rPr>
              <w:t>数量</w:t>
            </w:r>
          </w:p>
        </w:tc>
        <w:tc>
          <w:tcPr>
            <w:tcW w:w="567" w:type="dxa"/>
            <w:vAlign w:val="center"/>
          </w:tcPr>
          <w:p w14:paraId="67A92AEA">
            <w:pPr>
              <w:jc w:val="center"/>
              <w:rPr>
                <w:rFonts w:ascii="Times New Roman" w:hAnsi="Times New Roman" w:eastAsia="宋体" w:cs="Times New Roman"/>
                <w:b/>
                <w:sz w:val="22"/>
                <w:szCs w:val="28"/>
              </w:rPr>
            </w:pPr>
            <w:r>
              <w:rPr>
                <w:rFonts w:ascii="Times New Roman" w:hAnsi="Times New Roman" w:eastAsia="宋体" w:cs="Times New Roman"/>
                <w:b/>
                <w:sz w:val="22"/>
                <w:szCs w:val="28"/>
              </w:rPr>
              <w:t>单位</w:t>
            </w:r>
          </w:p>
        </w:tc>
        <w:tc>
          <w:tcPr>
            <w:tcW w:w="992" w:type="dxa"/>
            <w:vAlign w:val="center"/>
          </w:tcPr>
          <w:p w14:paraId="5FE04B57">
            <w:pPr>
              <w:jc w:val="center"/>
              <w:rPr>
                <w:rFonts w:ascii="Times New Roman" w:hAnsi="Times New Roman" w:eastAsia="宋体" w:cs="Times New Roman"/>
                <w:b/>
                <w:sz w:val="22"/>
                <w:szCs w:val="28"/>
              </w:rPr>
            </w:pPr>
            <w:r>
              <w:rPr>
                <w:rFonts w:ascii="Times New Roman" w:hAnsi="Times New Roman" w:eastAsia="宋体" w:cs="Times New Roman"/>
                <w:b/>
                <w:sz w:val="22"/>
                <w:szCs w:val="28"/>
              </w:rPr>
              <w:t>金额（元）</w:t>
            </w:r>
          </w:p>
        </w:tc>
      </w:tr>
      <w:tr w14:paraId="5343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7" w:hRule="atLeast"/>
        </w:trPr>
        <w:tc>
          <w:tcPr>
            <w:tcW w:w="710" w:type="dxa"/>
            <w:vAlign w:val="center"/>
          </w:tcPr>
          <w:p w14:paraId="22CD51C1">
            <w:pPr>
              <w:jc w:val="center"/>
              <w:rPr>
                <w:rFonts w:ascii="Times New Roman" w:hAnsi="Times New Roman" w:eastAsia="宋体" w:cs="Times New Roman"/>
                <w:color w:val="C00000"/>
                <w:sz w:val="20"/>
                <w:szCs w:val="24"/>
              </w:rPr>
            </w:pPr>
            <w:r>
              <w:rPr>
                <w:rFonts w:ascii="宋体" w:hAnsi="宋体" w:eastAsia="宋体" w:cs="宋体"/>
                <w:szCs w:val="21"/>
              </w:rPr>
              <w:t>1</w:t>
            </w:r>
          </w:p>
        </w:tc>
        <w:tc>
          <w:tcPr>
            <w:tcW w:w="1276" w:type="dxa"/>
            <w:vAlign w:val="center"/>
          </w:tcPr>
          <w:p w14:paraId="39C6265D">
            <w:pPr>
              <w:widowControl/>
              <w:spacing w:line="360" w:lineRule="auto"/>
              <w:rPr>
                <w:rFonts w:ascii="Times New Roman" w:hAnsi="Times New Roman" w:eastAsia="宋体" w:cs="Times New Roman"/>
                <w:sz w:val="20"/>
                <w:szCs w:val="24"/>
              </w:rPr>
            </w:pPr>
            <w:r>
              <w:rPr>
                <w:rFonts w:hint="eastAsia" w:ascii="Times New Roman" w:hAnsi="Times New Roman" w:eastAsia="宋体" w:cs="Times New Roman"/>
                <w:sz w:val="20"/>
                <w:szCs w:val="24"/>
              </w:rPr>
              <w:t>MacBook Air13</w:t>
            </w:r>
          </w:p>
        </w:tc>
        <w:tc>
          <w:tcPr>
            <w:tcW w:w="3969" w:type="dxa"/>
            <w:vAlign w:val="center"/>
          </w:tcPr>
          <w:p w14:paraId="3CBCE3A9">
            <w:pPr>
              <w:pStyle w:val="2"/>
              <w:keepNext w:val="0"/>
              <w:keepLines w:val="0"/>
              <w:widowControl/>
              <w:suppressLineNumbers w:val="0"/>
              <w:rPr>
                <w:rFonts w:ascii="宋体" w:hAnsi="宋体" w:eastAsia="宋体" w:cs="宋体"/>
                <w:szCs w:val="21"/>
              </w:rPr>
            </w:pPr>
            <w:r>
              <w:rPr>
                <w:rFonts w:hint="eastAsia" w:ascii="宋体" w:hAnsi="宋体" w:eastAsia="宋体" w:cs="宋体"/>
                <w:b w:val="0"/>
                <w:bCs w:val="0"/>
                <w:kern w:val="2"/>
                <w:sz w:val="21"/>
                <w:szCs w:val="21"/>
                <w:lang w:val="en-US" w:eastAsia="zh-CN" w:bidi="ar-SA"/>
              </w:rPr>
              <w:t>处理器Apple M5 芯片10 核 CPU：4 个超级性能核心 +6 个能效核心8 核 GPU16</w:t>
            </w:r>
            <w:r>
              <w:rPr>
                <w:rFonts w:hint="eastAsia" w:ascii="宋体" w:hAnsi="宋体" w:eastAsia="宋体" w:cs="宋体"/>
                <w:b w:val="0"/>
                <w:bCs w:val="0"/>
                <w:kern w:val="2"/>
                <w:sz w:val="21"/>
                <w:szCs w:val="21"/>
                <w:lang w:val="en-US" w:eastAsia="zh-CN" w:bidi="ar-SA"/>
              </w:rPr>
              <w:noBreakHyphen/>
            </w:r>
            <w:r>
              <w:rPr>
                <w:rFonts w:hint="eastAsia" w:ascii="宋体" w:hAnsi="宋体" w:eastAsia="宋体" w:cs="宋体"/>
                <w:b w:val="0"/>
                <w:bCs w:val="0"/>
                <w:kern w:val="2"/>
                <w:sz w:val="21"/>
                <w:szCs w:val="21"/>
                <w:lang w:val="en-US" w:eastAsia="zh-CN" w:bidi="ar-SA"/>
              </w:rPr>
              <w:t>核神经网络引擎，内置神经网络加速器，硬件光线追踪内存带宽：153GB/s媒体引擎：硬件加速 H.264、HEVC、ProRes、ProRes RAW；支持 AV1 解码Apple Supp...内存与存储统一内存：16GB（板载不可后期升级）固态硬盘：512GB SSD（板载不可后期升级）显示屏Liquid 视网膜显示屏，13.6 英寸（对角线）IPS分辨率：2560 × 1664，224ppi，16:10亮度：500 尼特；P3 广色域；原彩显示；支持十亿色彩机身物理规格材质：全铝金属机身，银色</w:t>
            </w:r>
          </w:p>
        </w:tc>
        <w:tc>
          <w:tcPr>
            <w:tcW w:w="992" w:type="dxa"/>
            <w:vAlign w:val="center"/>
          </w:tcPr>
          <w:p w14:paraId="35769300">
            <w:pPr>
              <w:jc w:val="center"/>
              <w:rPr>
                <w:rFonts w:hint="default" w:ascii="Times New Roman" w:hAnsi="Times New Roman" w:eastAsia="宋体" w:cs="Times New Roman"/>
                <w:sz w:val="20"/>
                <w:szCs w:val="24"/>
                <w:lang w:val="en-US" w:eastAsia="zh-CN"/>
              </w:rPr>
            </w:pPr>
            <w:r>
              <w:rPr>
                <w:rFonts w:hint="eastAsia" w:ascii="Times New Roman" w:hAnsi="Times New Roman" w:eastAsia="宋体" w:cs="Times New Roman"/>
                <w:sz w:val="20"/>
                <w:szCs w:val="24"/>
                <w:lang w:val="en-US" w:eastAsia="zh-CN"/>
              </w:rPr>
              <w:t>12500</w:t>
            </w:r>
          </w:p>
        </w:tc>
        <w:tc>
          <w:tcPr>
            <w:tcW w:w="567" w:type="dxa"/>
            <w:vAlign w:val="center"/>
          </w:tcPr>
          <w:p w14:paraId="20F24137">
            <w:pPr>
              <w:jc w:val="center"/>
              <w:rPr>
                <w:rFonts w:ascii="Times New Roman" w:hAnsi="Times New Roman" w:eastAsia="宋体" w:cs="Times New Roman"/>
                <w:sz w:val="20"/>
                <w:szCs w:val="24"/>
              </w:rPr>
            </w:pPr>
            <w:r>
              <w:rPr>
                <w:rFonts w:hint="eastAsia" w:ascii="Times New Roman" w:hAnsi="Times New Roman" w:eastAsia="宋体" w:cs="Times New Roman"/>
                <w:sz w:val="20"/>
                <w:szCs w:val="24"/>
              </w:rPr>
              <w:t>1</w:t>
            </w:r>
          </w:p>
        </w:tc>
        <w:tc>
          <w:tcPr>
            <w:tcW w:w="567" w:type="dxa"/>
            <w:vAlign w:val="center"/>
          </w:tcPr>
          <w:p w14:paraId="08BCA922">
            <w:pPr>
              <w:jc w:val="center"/>
              <w:rPr>
                <w:rFonts w:ascii="Times New Roman" w:hAnsi="Times New Roman" w:eastAsia="宋体" w:cs="Times New Roman"/>
                <w:sz w:val="20"/>
                <w:szCs w:val="24"/>
              </w:rPr>
            </w:pPr>
            <w:r>
              <w:rPr>
                <w:rFonts w:ascii="Times New Roman" w:hAnsi="Times New Roman" w:eastAsia="宋体" w:cs="Times New Roman"/>
                <w:sz w:val="20"/>
                <w:szCs w:val="24"/>
              </w:rPr>
              <w:t>台</w:t>
            </w:r>
          </w:p>
        </w:tc>
        <w:tc>
          <w:tcPr>
            <w:tcW w:w="992" w:type="dxa"/>
            <w:vAlign w:val="center"/>
          </w:tcPr>
          <w:p w14:paraId="48B14223">
            <w:pPr>
              <w:jc w:val="center"/>
              <w:rPr>
                <w:rFonts w:hint="default" w:ascii="Times New Roman" w:hAnsi="Times New Roman" w:eastAsia="宋体" w:cs="Times New Roman"/>
                <w:sz w:val="20"/>
                <w:szCs w:val="24"/>
                <w:lang w:val="en-US" w:eastAsia="zh-CN"/>
              </w:rPr>
            </w:pPr>
            <w:r>
              <w:rPr>
                <w:rFonts w:hint="eastAsia" w:ascii="Times New Roman" w:hAnsi="Times New Roman" w:eastAsia="宋体" w:cs="Times New Roman"/>
                <w:sz w:val="20"/>
                <w:szCs w:val="24"/>
                <w:lang w:val="en-US" w:eastAsia="zh-CN"/>
              </w:rPr>
              <w:t>12500</w:t>
            </w:r>
          </w:p>
        </w:tc>
      </w:tr>
      <w:tr w14:paraId="2EE0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7" w:hRule="atLeast"/>
        </w:trPr>
        <w:tc>
          <w:tcPr>
            <w:tcW w:w="710" w:type="dxa"/>
            <w:vAlign w:val="center"/>
          </w:tcPr>
          <w:p w14:paraId="1DC885EE">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2</w:t>
            </w:r>
          </w:p>
        </w:tc>
        <w:tc>
          <w:tcPr>
            <w:tcW w:w="1276" w:type="dxa"/>
            <w:vAlign w:val="center"/>
          </w:tcPr>
          <w:p w14:paraId="5458DF7B">
            <w:pPr>
              <w:widowControl/>
              <w:spacing w:line="360" w:lineRule="auto"/>
              <w:rPr>
                <w:rFonts w:hint="eastAsia" w:ascii="Times New Roman" w:hAnsi="Times New Roman" w:eastAsia="宋体" w:cs="Times New Roman"/>
                <w:sz w:val="20"/>
                <w:szCs w:val="24"/>
                <w:lang w:val="en-US" w:eastAsia="zh-CN"/>
              </w:rPr>
            </w:pPr>
            <w:r>
              <w:rPr>
                <w:rFonts w:hint="eastAsia" w:ascii="Times New Roman" w:hAnsi="Times New Roman" w:eastAsia="宋体" w:cs="Times New Roman"/>
                <w:sz w:val="20"/>
                <w:szCs w:val="24"/>
              </w:rPr>
              <w:t>微软 Surface Pro 12</w:t>
            </w:r>
            <w:r>
              <w:rPr>
                <w:rFonts w:hint="eastAsia" w:ascii="Times New Roman" w:hAnsi="Times New Roman" w:eastAsia="宋体" w:cs="Times New Roman"/>
                <w:sz w:val="20"/>
                <w:szCs w:val="24"/>
                <w:lang w:val="en-US" w:eastAsia="zh-CN"/>
              </w:rPr>
              <w:t>英寸</w:t>
            </w:r>
          </w:p>
        </w:tc>
        <w:tc>
          <w:tcPr>
            <w:tcW w:w="3969" w:type="dxa"/>
            <w:vAlign w:val="center"/>
          </w:tcPr>
          <w:p w14:paraId="5F665B93">
            <w:pPr>
              <w:rPr>
                <w:rFonts w:hint="eastAsia" w:ascii="宋体" w:hAnsi="宋体" w:eastAsia="宋体" w:cs="宋体"/>
                <w:szCs w:val="21"/>
              </w:rPr>
            </w:pPr>
            <w:r>
              <w:rPr>
                <w:rFonts w:hint="eastAsia" w:ascii="宋体" w:hAnsi="宋体" w:eastAsia="宋体" w:cs="宋体"/>
                <w:szCs w:val="21"/>
              </w:rPr>
              <w:t>CPU：高通 骁龙 X Plus（10 核）GPU：Adreno 集成显卡</w:t>
            </w:r>
          </w:p>
          <w:p w14:paraId="0F0AFA55">
            <w:pPr>
              <w:rPr>
                <w:rFonts w:hint="eastAsia" w:ascii="宋体" w:hAnsi="宋体" w:eastAsia="宋体" w:cs="宋体"/>
                <w:szCs w:val="21"/>
              </w:rPr>
            </w:pPr>
            <w:r>
              <w:rPr>
                <w:rFonts w:hint="eastAsia" w:ascii="宋体" w:hAnsi="宋体" w:eastAsia="宋体" w:cs="宋体"/>
                <w:szCs w:val="21"/>
              </w:rPr>
              <w:t>NPU：Hexagon，45 TOPS AI 算力，完整支持WindowsCopilot本地AI功能Microsoft</w:t>
            </w:r>
          </w:p>
          <w:p w14:paraId="1F5E7304">
            <w:pPr>
              <w:rPr>
                <w:rFonts w:hint="eastAsia" w:ascii="宋体" w:hAnsi="宋体" w:eastAsia="宋体" w:cs="宋体"/>
                <w:szCs w:val="21"/>
              </w:rPr>
            </w:pPr>
            <w:r>
              <w:rPr>
                <w:rFonts w:hint="eastAsia" w:ascii="宋体" w:hAnsi="宋体" w:eastAsia="宋体" w:cs="宋体"/>
                <w:szCs w:val="21"/>
              </w:rPr>
              <w:t>内存存储（板载不可升级）</w:t>
            </w:r>
          </w:p>
          <w:p w14:paraId="4EE9EC0E">
            <w:pPr>
              <w:rPr>
                <w:rFonts w:hint="eastAsia" w:ascii="宋体" w:hAnsi="宋体" w:eastAsia="宋体" w:cs="宋体"/>
                <w:szCs w:val="21"/>
              </w:rPr>
            </w:pPr>
            <w:r>
              <w:rPr>
                <w:rFonts w:hint="eastAsia" w:ascii="宋体" w:hAnsi="宋体" w:eastAsia="宋体" w:cs="宋体"/>
                <w:szCs w:val="21"/>
              </w:rPr>
              <w:t>内存：16GB LPDDR5</w:t>
            </w:r>
          </w:p>
          <w:p w14:paraId="1079742E">
            <w:pPr>
              <w:rPr>
                <w:rFonts w:hint="eastAsia" w:ascii="宋体" w:hAnsi="宋体" w:eastAsia="宋体" w:cs="宋体"/>
                <w:szCs w:val="21"/>
              </w:rPr>
            </w:pPr>
            <w:r>
              <w:rPr>
                <w:rFonts w:hint="eastAsia" w:ascii="宋体" w:hAnsi="宋体" w:eastAsia="宋体" w:cs="宋体"/>
                <w:szCs w:val="21"/>
              </w:rPr>
              <w:t>存储：512GB高速闪存，不可自行更换硬盘Microsoft</w:t>
            </w:r>
          </w:p>
          <w:p w14:paraId="565CA0EE">
            <w:pPr>
              <w:rPr>
                <w:rFonts w:hint="eastAsia" w:ascii="宋体" w:hAnsi="宋体" w:eastAsia="宋体" w:cs="宋体"/>
                <w:szCs w:val="21"/>
              </w:rPr>
            </w:pPr>
            <w:r>
              <w:rPr>
                <w:rFonts w:hint="eastAsia" w:ascii="宋体" w:hAnsi="宋体" w:eastAsia="宋体" w:cs="宋体"/>
                <w:szCs w:val="21"/>
              </w:rPr>
              <w:t>显示屏 PixelSense LCD</w:t>
            </w:r>
          </w:p>
          <w:p w14:paraId="4E66857E">
            <w:pPr>
              <w:rPr>
                <w:rFonts w:hint="eastAsia" w:ascii="宋体" w:hAnsi="宋体" w:eastAsia="宋体" w:cs="宋体"/>
                <w:szCs w:val="21"/>
              </w:rPr>
            </w:pPr>
            <w:r>
              <w:rPr>
                <w:rFonts w:hint="eastAsia" w:ascii="宋体" w:hAnsi="宋体" w:eastAsia="宋体" w:cs="宋体"/>
                <w:szCs w:val="21"/>
              </w:rPr>
              <w:t>尺寸：</w:t>
            </w:r>
            <w:r>
              <w:rPr>
                <w:rFonts w:hint="eastAsia" w:ascii="宋体" w:hAnsi="宋体" w:eastAsia="宋体" w:cs="宋体"/>
                <w:szCs w:val="21"/>
                <w:lang w:val="en-US" w:eastAsia="zh-CN"/>
              </w:rPr>
              <w:t>1</w:t>
            </w:r>
            <w:r>
              <w:rPr>
                <w:rFonts w:hint="eastAsia" w:ascii="宋体" w:hAnsi="宋体" w:eastAsia="宋体" w:cs="宋体"/>
                <w:szCs w:val="21"/>
              </w:rPr>
              <w:t>2 英寸，3:2 比例十点触控屏- 分辨率：2196 × 1464- 刷新率：最高90Hz，默认 60Hz亮度：400 尼特；对比度 1200:1；sRGB 色域；抗反射强化玻璃；单台出厂校色Microsof</w:t>
            </w:r>
            <w:r>
              <w:rPr>
                <w:rFonts w:hint="eastAsia" w:ascii="宋体" w:hAnsi="宋体" w:eastAsia="宋体" w:cs="宋体"/>
                <w:szCs w:val="21"/>
                <w:lang w:eastAsia="zh-CN"/>
              </w:rPr>
              <w:t>。Surface Pro 12英寸键盘盖 带超薄触控笔 板岩灰 。</w:t>
            </w:r>
            <w:bookmarkStart w:id="1" w:name="_GoBack"/>
            <w:bookmarkEnd w:id="1"/>
            <w:r>
              <w:rPr>
                <w:rFonts w:hint="eastAsia" w:ascii="宋体" w:hAnsi="宋体" w:eastAsia="宋体" w:cs="宋体"/>
                <w:szCs w:val="21"/>
              </w:rPr>
              <w:t>预装Windows 11 家庭版（Copilot+ PC）其他软件：office/PDF/ Windows Server</w:t>
            </w:r>
            <w:r>
              <w:rPr>
                <w:rFonts w:hint="eastAsia" w:ascii="宋体" w:hAnsi="宋体" w:eastAsia="宋体" w:cs="宋体"/>
                <w:szCs w:val="21"/>
              </w:rPr>
              <w:t>/乂迅分布式集群高效运维平台V1.0</w:t>
            </w:r>
            <w:r>
              <w:rPr>
                <w:rFonts w:hint="eastAsia" w:ascii="宋体" w:hAnsi="宋体" w:eastAsia="宋体" w:cs="宋体"/>
                <w:szCs w:val="21"/>
              </w:rPr>
              <w:t>等</w:t>
            </w:r>
          </w:p>
        </w:tc>
        <w:tc>
          <w:tcPr>
            <w:tcW w:w="992" w:type="dxa"/>
            <w:vAlign w:val="center"/>
          </w:tcPr>
          <w:p w14:paraId="1B5589DB">
            <w:pPr>
              <w:jc w:val="center"/>
              <w:rPr>
                <w:rFonts w:hint="default" w:ascii="Times New Roman" w:hAnsi="Times New Roman" w:eastAsia="宋体" w:cs="Times New Roman"/>
                <w:sz w:val="20"/>
                <w:szCs w:val="24"/>
                <w:lang w:val="en-US" w:eastAsia="zh-CN"/>
              </w:rPr>
            </w:pPr>
            <w:r>
              <w:rPr>
                <w:rFonts w:hint="eastAsia" w:ascii="Times New Roman" w:hAnsi="Times New Roman" w:eastAsia="宋体" w:cs="Times New Roman"/>
                <w:sz w:val="20"/>
                <w:szCs w:val="24"/>
                <w:lang w:val="en-US" w:eastAsia="zh-CN"/>
              </w:rPr>
              <w:t>12500</w:t>
            </w:r>
          </w:p>
        </w:tc>
        <w:tc>
          <w:tcPr>
            <w:tcW w:w="567" w:type="dxa"/>
            <w:vAlign w:val="center"/>
          </w:tcPr>
          <w:p w14:paraId="728F1489">
            <w:pPr>
              <w:jc w:val="center"/>
              <w:rPr>
                <w:rFonts w:hint="eastAsia" w:ascii="Times New Roman" w:hAnsi="Times New Roman" w:eastAsia="宋体" w:cs="Times New Roman"/>
                <w:sz w:val="20"/>
                <w:szCs w:val="24"/>
                <w:lang w:val="en-US" w:eastAsia="zh-CN"/>
              </w:rPr>
            </w:pPr>
            <w:r>
              <w:rPr>
                <w:rFonts w:hint="eastAsia" w:ascii="Times New Roman" w:hAnsi="Times New Roman" w:eastAsia="宋体" w:cs="Times New Roman"/>
                <w:sz w:val="20"/>
                <w:szCs w:val="24"/>
                <w:lang w:val="en-US" w:eastAsia="zh-CN"/>
              </w:rPr>
              <w:t>1</w:t>
            </w:r>
          </w:p>
        </w:tc>
        <w:tc>
          <w:tcPr>
            <w:tcW w:w="567" w:type="dxa"/>
            <w:vAlign w:val="center"/>
          </w:tcPr>
          <w:p w14:paraId="57146105">
            <w:pPr>
              <w:jc w:val="center"/>
              <w:rPr>
                <w:rFonts w:hint="eastAsia" w:ascii="Times New Roman" w:hAnsi="Times New Roman" w:eastAsia="宋体" w:cs="Times New Roman"/>
                <w:sz w:val="20"/>
                <w:szCs w:val="24"/>
                <w:lang w:val="en-US" w:eastAsia="zh-CN"/>
              </w:rPr>
            </w:pPr>
            <w:r>
              <w:rPr>
                <w:rFonts w:hint="eastAsia" w:ascii="Times New Roman" w:hAnsi="Times New Roman" w:eastAsia="宋体" w:cs="Times New Roman"/>
                <w:sz w:val="20"/>
                <w:szCs w:val="24"/>
                <w:lang w:val="en-US" w:eastAsia="zh-CN"/>
              </w:rPr>
              <w:t>台</w:t>
            </w:r>
          </w:p>
        </w:tc>
        <w:tc>
          <w:tcPr>
            <w:tcW w:w="992" w:type="dxa"/>
            <w:vAlign w:val="center"/>
          </w:tcPr>
          <w:p w14:paraId="74B99D26">
            <w:pPr>
              <w:jc w:val="center"/>
              <w:rPr>
                <w:rFonts w:hint="default" w:ascii="Times New Roman" w:hAnsi="Times New Roman" w:eastAsia="宋体" w:cs="Times New Roman"/>
                <w:sz w:val="20"/>
                <w:szCs w:val="24"/>
                <w:lang w:val="en-US" w:eastAsia="zh-CN"/>
              </w:rPr>
            </w:pPr>
            <w:r>
              <w:rPr>
                <w:rFonts w:hint="eastAsia" w:ascii="Times New Roman" w:hAnsi="Times New Roman" w:eastAsia="宋体" w:cs="Times New Roman"/>
                <w:sz w:val="20"/>
                <w:szCs w:val="24"/>
                <w:lang w:val="en-US" w:eastAsia="zh-CN"/>
              </w:rPr>
              <w:t>12500</w:t>
            </w:r>
          </w:p>
        </w:tc>
      </w:tr>
      <w:tr w14:paraId="2344C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8081" w:type="dxa"/>
            <w:gridSpan w:val="6"/>
            <w:vAlign w:val="center"/>
          </w:tcPr>
          <w:p w14:paraId="4DB5F412">
            <w:pPr>
              <w:jc w:val="center"/>
              <w:rPr>
                <w:rFonts w:ascii="Times New Roman" w:hAnsi="Times New Roman" w:eastAsia="宋体" w:cs="Times New Roman"/>
                <w:sz w:val="24"/>
                <w:szCs w:val="24"/>
              </w:rPr>
            </w:pPr>
            <w:r>
              <w:rPr>
                <w:rFonts w:ascii="Times New Roman" w:hAnsi="Times New Roman" w:eastAsia="宋体" w:cs="Times New Roman"/>
                <w:sz w:val="24"/>
                <w:szCs w:val="24"/>
              </w:rPr>
              <w:t>合计</w:t>
            </w:r>
          </w:p>
        </w:tc>
        <w:tc>
          <w:tcPr>
            <w:tcW w:w="992" w:type="dxa"/>
            <w:vAlign w:val="center"/>
          </w:tcPr>
          <w:p w14:paraId="58612E94">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25000</w:t>
            </w:r>
          </w:p>
        </w:tc>
      </w:tr>
    </w:tbl>
    <w:p w14:paraId="18F901F5">
      <w:pPr>
        <w:rPr>
          <w:highlight w:val="yellow"/>
        </w:rPr>
      </w:pPr>
    </w:p>
    <w:tbl>
      <w:tblPr>
        <w:tblStyle w:val="8"/>
        <w:tblW w:w="91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830"/>
        <w:gridCol w:w="28"/>
        <w:gridCol w:w="6585"/>
      </w:tblGrid>
      <w:tr w14:paraId="2D2FE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23CCCFCC">
            <w:pPr>
              <w:widowControl/>
              <w:spacing w:line="360" w:lineRule="auto"/>
              <w:rPr>
                <w:rFonts w:ascii="宋体" w:hAnsi="宋体" w:eastAsia="宋体" w:cs="宋体"/>
                <w:b/>
                <w:szCs w:val="21"/>
              </w:rPr>
            </w:pPr>
            <w:r>
              <w:rPr>
                <w:rFonts w:hint="eastAsia" w:ascii="宋体" w:hAnsi="宋体" w:eastAsia="宋体" w:cs="宋体"/>
                <w:b/>
                <w:szCs w:val="21"/>
              </w:rPr>
              <w:t>序号</w:t>
            </w:r>
          </w:p>
        </w:tc>
        <w:tc>
          <w:tcPr>
            <w:tcW w:w="8443" w:type="dxa"/>
            <w:gridSpan w:val="3"/>
            <w:vAlign w:val="center"/>
          </w:tcPr>
          <w:p w14:paraId="034C9D01">
            <w:pPr>
              <w:widowControl/>
              <w:spacing w:line="360" w:lineRule="auto"/>
              <w:jc w:val="center"/>
              <w:rPr>
                <w:rFonts w:ascii="宋体" w:hAnsi="宋体" w:eastAsia="宋体" w:cs="宋体"/>
                <w:b/>
                <w:szCs w:val="21"/>
              </w:rPr>
            </w:pPr>
            <w:r>
              <w:rPr>
                <w:rFonts w:hint="eastAsia" w:ascii="宋体" w:hAnsi="宋体" w:eastAsia="宋体" w:cs="宋体"/>
                <w:bCs/>
                <w:szCs w:val="21"/>
              </w:rPr>
              <w:t>★</w:t>
            </w:r>
            <w:r>
              <w:rPr>
                <w:rFonts w:hint="eastAsia" w:ascii="宋体" w:hAnsi="宋体" w:eastAsia="宋体" w:cs="宋体"/>
                <w:b/>
                <w:szCs w:val="21"/>
              </w:rPr>
              <w:t>商务要求</w:t>
            </w:r>
          </w:p>
        </w:tc>
      </w:tr>
      <w:tr w14:paraId="5363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7" w:type="dxa"/>
            <w:gridSpan w:val="4"/>
            <w:vAlign w:val="center"/>
          </w:tcPr>
          <w:p w14:paraId="217CFF84">
            <w:pPr>
              <w:widowControl/>
              <w:spacing w:line="360" w:lineRule="auto"/>
              <w:rPr>
                <w:rFonts w:ascii="宋体" w:hAnsi="宋体" w:eastAsia="宋体" w:cs="宋体"/>
                <w:b/>
                <w:szCs w:val="21"/>
              </w:rPr>
            </w:pPr>
            <w:r>
              <w:rPr>
                <w:rFonts w:hint="eastAsia" w:ascii="宋体" w:hAnsi="宋体" w:eastAsia="宋体" w:cs="宋体"/>
                <w:b/>
                <w:szCs w:val="21"/>
              </w:rPr>
              <w:t>（一）免费保修期内售后服务要求</w:t>
            </w:r>
          </w:p>
        </w:tc>
      </w:tr>
      <w:tr w14:paraId="7DA0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704" w:type="dxa"/>
            <w:vAlign w:val="center"/>
          </w:tcPr>
          <w:p w14:paraId="1CD270CA">
            <w:pPr>
              <w:widowControl/>
              <w:spacing w:line="360" w:lineRule="auto"/>
              <w:jc w:val="center"/>
              <w:rPr>
                <w:rFonts w:ascii="宋体" w:hAnsi="宋体" w:eastAsia="宋体" w:cs="宋体"/>
                <w:bCs/>
                <w:szCs w:val="21"/>
              </w:rPr>
            </w:pPr>
            <w:r>
              <w:rPr>
                <w:rFonts w:hint="eastAsia" w:ascii="宋体" w:hAnsi="宋体" w:eastAsia="宋体" w:cs="宋体"/>
                <w:bCs/>
                <w:szCs w:val="21"/>
              </w:rPr>
              <w:t>1</w:t>
            </w:r>
          </w:p>
        </w:tc>
        <w:tc>
          <w:tcPr>
            <w:tcW w:w="1830" w:type="dxa"/>
          </w:tcPr>
          <w:p w14:paraId="5E5C6B10">
            <w:pPr>
              <w:widowControl/>
              <w:spacing w:line="360" w:lineRule="auto"/>
              <w:rPr>
                <w:rFonts w:ascii="宋体" w:hAnsi="宋体" w:eastAsia="宋体" w:cs="宋体"/>
                <w:szCs w:val="21"/>
              </w:rPr>
            </w:pPr>
            <w:r>
              <w:rPr>
                <w:rFonts w:hint="eastAsia" w:ascii="宋体" w:hAnsi="宋体" w:eastAsia="宋体" w:cs="宋体"/>
                <w:szCs w:val="21"/>
              </w:rPr>
              <w:t xml:space="preserve"> </w:t>
            </w:r>
          </w:p>
          <w:p w14:paraId="5D9DD00A">
            <w:pPr>
              <w:widowControl/>
              <w:spacing w:line="360" w:lineRule="auto"/>
              <w:rPr>
                <w:rFonts w:ascii="宋体" w:hAnsi="宋体" w:eastAsia="宋体" w:cs="宋体"/>
                <w:szCs w:val="21"/>
              </w:rPr>
            </w:pPr>
          </w:p>
          <w:p w14:paraId="642BC454">
            <w:pPr>
              <w:widowControl/>
              <w:spacing w:line="360" w:lineRule="auto"/>
              <w:rPr>
                <w:rFonts w:ascii="宋体" w:hAnsi="宋体" w:eastAsia="宋体" w:cs="宋体"/>
                <w:szCs w:val="21"/>
              </w:rPr>
            </w:pPr>
            <w:r>
              <w:rPr>
                <w:rFonts w:hint="eastAsia" w:ascii="宋体" w:hAnsi="宋体" w:eastAsia="宋体" w:cs="宋体"/>
                <w:szCs w:val="21"/>
              </w:rPr>
              <w:t>货物要求</w:t>
            </w:r>
          </w:p>
        </w:tc>
        <w:tc>
          <w:tcPr>
            <w:tcW w:w="6613" w:type="dxa"/>
            <w:gridSpan w:val="2"/>
          </w:tcPr>
          <w:p w14:paraId="4FCE71FD">
            <w:pPr>
              <w:widowControl/>
              <w:spacing w:line="360" w:lineRule="auto"/>
              <w:rPr>
                <w:rFonts w:ascii="宋体" w:hAnsi="宋体" w:eastAsia="宋体" w:cs="宋体"/>
                <w:szCs w:val="21"/>
              </w:rPr>
            </w:pPr>
            <w:r>
              <w:rPr>
                <w:rFonts w:hint="eastAsia" w:ascii="宋体" w:hAnsi="宋体" w:eastAsia="宋体" w:cs="宋体"/>
                <w:szCs w:val="21"/>
              </w:rPr>
              <w:t>1</w:t>
            </w:r>
            <w:r>
              <w:rPr>
                <w:rFonts w:ascii="宋体" w:hAnsi="宋体" w:eastAsia="宋体" w:cs="宋体"/>
                <w:szCs w:val="21"/>
              </w:rPr>
              <w:t>.1</w:t>
            </w:r>
            <w:r>
              <w:rPr>
                <w:rFonts w:hint="eastAsia" w:ascii="宋体" w:hAnsi="宋体" w:eastAsia="宋体" w:cs="宋体"/>
                <w:szCs w:val="21"/>
              </w:rPr>
              <w:t>供应商应保证货物是全新、未使用过的原装合格正品（包括零部件），并完全符合采购方要求的质量、规格和性能的要求。</w:t>
            </w:r>
          </w:p>
          <w:p w14:paraId="3C25F767">
            <w:pPr>
              <w:widowControl/>
              <w:spacing w:line="360" w:lineRule="auto"/>
              <w:rPr>
                <w:rFonts w:ascii="宋体" w:hAnsi="宋体" w:eastAsia="宋体" w:cs="宋体"/>
                <w:b/>
                <w:szCs w:val="21"/>
              </w:rPr>
            </w:pPr>
            <w:r>
              <w:rPr>
                <w:rFonts w:ascii="宋体" w:hAnsi="宋体" w:eastAsia="宋体" w:cs="宋体"/>
                <w:szCs w:val="21"/>
              </w:rPr>
              <w:t>1.2送货上门、原厂交付</w:t>
            </w:r>
            <w:r>
              <w:rPr>
                <w:rFonts w:hint="eastAsia" w:ascii="宋体" w:hAnsi="宋体" w:eastAsia="宋体" w:cs="宋体"/>
                <w:szCs w:val="21"/>
              </w:rPr>
              <w:t>，</w:t>
            </w:r>
            <w:r>
              <w:rPr>
                <w:rFonts w:ascii="宋体" w:hAnsi="宋体" w:eastAsia="宋体" w:cs="宋体"/>
                <w:szCs w:val="21"/>
              </w:rPr>
              <w:t>所有配置必须是原厂出厂,</w:t>
            </w:r>
            <w:r>
              <w:rPr>
                <w:rFonts w:hint="eastAsia" w:ascii="宋体" w:hAnsi="宋体" w:eastAsia="宋体" w:cs="宋体"/>
                <w:szCs w:val="21"/>
              </w:rPr>
              <w:t>软件正版化，</w:t>
            </w:r>
            <w:r>
              <w:rPr>
                <w:rFonts w:ascii="宋体" w:hAnsi="宋体" w:eastAsia="宋体" w:cs="宋体"/>
                <w:szCs w:val="21"/>
              </w:rPr>
              <w:t>保证完整包装不开封，出厂时注明采购单位名称</w:t>
            </w:r>
            <w:r>
              <w:rPr>
                <w:rFonts w:hint="eastAsia" w:ascii="宋体" w:hAnsi="宋体" w:eastAsia="宋体" w:cs="宋体"/>
                <w:szCs w:val="21"/>
              </w:rPr>
              <w:t>，且</w:t>
            </w:r>
            <w:r>
              <w:rPr>
                <w:rFonts w:ascii="宋体" w:hAnsi="宋体" w:eastAsia="宋体" w:cs="宋体"/>
                <w:szCs w:val="21"/>
              </w:rPr>
              <w:t>不接受快递到付，需安排专人送达并当场验收</w:t>
            </w:r>
            <w:r>
              <w:rPr>
                <w:rFonts w:hint="eastAsia" w:ascii="宋体" w:hAnsi="宋体" w:eastAsia="宋体" w:cs="宋体"/>
                <w:szCs w:val="21"/>
              </w:rPr>
              <w:t>。</w:t>
            </w:r>
          </w:p>
          <w:p w14:paraId="198D7D86">
            <w:pPr>
              <w:widowControl/>
              <w:spacing w:line="360" w:lineRule="auto"/>
              <w:rPr>
                <w:rFonts w:ascii="宋体" w:hAnsi="宋体" w:eastAsia="宋体" w:cs="宋体"/>
                <w:szCs w:val="21"/>
              </w:rPr>
            </w:pPr>
            <w:r>
              <w:rPr>
                <w:rFonts w:hint="eastAsia" w:ascii="宋体" w:hAnsi="宋体" w:eastAsia="宋体" w:cs="宋体"/>
                <w:szCs w:val="21"/>
              </w:rPr>
              <w:t>1</w:t>
            </w:r>
            <w:r>
              <w:rPr>
                <w:rFonts w:ascii="宋体" w:hAnsi="宋体" w:eastAsia="宋体" w:cs="宋体"/>
                <w:szCs w:val="21"/>
              </w:rPr>
              <w:t>.3</w:t>
            </w:r>
            <w:r>
              <w:rPr>
                <w:rFonts w:hint="eastAsia" w:ascii="宋体" w:hAnsi="宋体" w:eastAsia="宋体" w:cs="宋体"/>
                <w:szCs w:val="21"/>
              </w:rPr>
              <w:t>供应商应将所提供货物的使用说明书、原厂保修卡等附随资料和附随配件、工具等交付给采购方；</w:t>
            </w:r>
          </w:p>
          <w:p w14:paraId="70DA313F">
            <w:pPr>
              <w:widowControl/>
              <w:spacing w:line="360" w:lineRule="auto"/>
              <w:rPr>
                <w:rFonts w:ascii="宋体" w:hAnsi="宋体" w:eastAsia="宋体" w:cs="宋体"/>
                <w:szCs w:val="21"/>
              </w:rPr>
            </w:pPr>
            <w:r>
              <w:rPr>
                <w:rFonts w:ascii="宋体" w:hAnsi="宋体" w:eastAsia="宋体" w:cs="宋体"/>
                <w:szCs w:val="21"/>
              </w:rPr>
              <w:t>1.4</w:t>
            </w:r>
            <w:r>
              <w:rPr>
                <w:rFonts w:hint="eastAsia" w:ascii="宋体" w:hAnsi="宋体" w:eastAsia="宋体" w:cs="宋体"/>
                <w:szCs w:val="21"/>
              </w:rPr>
              <w:t>供应商不能完整交付货物及本款规定的单证和工具的，</w:t>
            </w:r>
            <w:r>
              <w:rPr>
                <w:rFonts w:hint="eastAsia" w:ascii="宋体" w:hAnsi="宋体" w:eastAsia="宋体" w:cs="Helvetica"/>
                <w:b/>
                <w:color w:val="333333"/>
                <w:szCs w:val="21"/>
                <w:shd w:val="clear" w:color="auto" w:fill="FFFFFF"/>
              </w:rPr>
              <w:t>或</w:t>
            </w:r>
            <w:r>
              <w:rPr>
                <w:rFonts w:ascii="宋体" w:hAnsi="宋体" w:eastAsia="宋体" w:cs="Helvetica"/>
                <w:b/>
                <w:color w:val="333333"/>
                <w:szCs w:val="21"/>
                <w:shd w:val="clear" w:color="auto" w:fill="FFFFFF"/>
              </w:rPr>
              <w:t>提供产品</w:t>
            </w:r>
            <w:r>
              <w:rPr>
                <w:rFonts w:hint="eastAsia" w:ascii="宋体" w:hAnsi="宋体" w:eastAsia="宋体" w:cs="Helvetica"/>
                <w:b/>
                <w:color w:val="333333"/>
                <w:szCs w:val="21"/>
                <w:shd w:val="clear" w:color="auto" w:fill="FFFFFF"/>
              </w:rPr>
              <w:t>或者</w:t>
            </w:r>
            <w:r>
              <w:rPr>
                <w:rFonts w:ascii="宋体" w:hAnsi="宋体" w:eastAsia="宋体" w:cs="Helvetica"/>
                <w:b/>
                <w:color w:val="333333"/>
                <w:szCs w:val="21"/>
                <w:shd w:val="clear" w:color="auto" w:fill="FFFFFF"/>
              </w:rPr>
              <w:t>是附件为不合格产品将进行退货处理并将向</w:t>
            </w:r>
            <w:r>
              <w:rPr>
                <w:rFonts w:hint="eastAsia" w:ascii="宋体" w:hAnsi="宋体" w:eastAsia="宋体" w:cs="Helvetica"/>
                <w:b/>
                <w:color w:val="333333"/>
                <w:szCs w:val="21"/>
                <w:shd w:val="clear" w:color="auto" w:fill="FFFFFF"/>
              </w:rPr>
              <w:t>学校</w:t>
            </w:r>
            <w:r>
              <w:rPr>
                <w:rFonts w:ascii="宋体" w:hAnsi="宋体" w:eastAsia="宋体" w:cs="Helvetica"/>
                <w:b/>
                <w:color w:val="333333"/>
                <w:szCs w:val="21"/>
                <w:shd w:val="clear" w:color="auto" w:fill="FFFFFF"/>
              </w:rPr>
              <w:t>采购中心反馈并拉入黑名单。</w:t>
            </w:r>
          </w:p>
        </w:tc>
      </w:tr>
      <w:tr w14:paraId="37ED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restart"/>
            <w:vAlign w:val="center"/>
          </w:tcPr>
          <w:p w14:paraId="59B0F05C">
            <w:pPr>
              <w:widowControl/>
              <w:spacing w:line="360" w:lineRule="auto"/>
              <w:jc w:val="center"/>
              <w:rPr>
                <w:rFonts w:ascii="宋体" w:hAnsi="宋体" w:eastAsia="宋体" w:cs="宋体"/>
                <w:b/>
                <w:szCs w:val="21"/>
              </w:rPr>
            </w:pPr>
            <w:r>
              <w:rPr>
                <w:rFonts w:ascii="宋体" w:hAnsi="宋体" w:eastAsia="宋体" w:cs="宋体"/>
                <w:szCs w:val="21"/>
              </w:rPr>
              <w:t>2</w:t>
            </w:r>
          </w:p>
        </w:tc>
        <w:tc>
          <w:tcPr>
            <w:tcW w:w="1830" w:type="dxa"/>
            <w:vMerge w:val="restart"/>
            <w:vAlign w:val="center"/>
          </w:tcPr>
          <w:p w14:paraId="7401DB5A">
            <w:pPr>
              <w:widowControl/>
              <w:spacing w:line="360" w:lineRule="auto"/>
              <w:rPr>
                <w:rFonts w:ascii="宋体" w:hAnsi="宋体" w:eastAsia="宋体" w:cs="宋体"/>
                <w:b/>
                <w:szCs w:val="21"/>
              </w:rPr>
            </w:pPr>
            <w:r>
              <w:rPr>
                <w:rFonts w:hint="eastAsia" w:ascii="宋体" w:hAnsi="宋体" w:eastAsia="宋体" w:cs="宋体"/>
                <w:szCs w:val="21"/>
              </w:rPr>
              <w:t>免费保修期</w:t>
            </w:r>
          </w:p>
        </w:tc>
        <w:tc>
          <w:tcPr>
            <w:tcW w:w="6613" w:type="dxa"/>
            <w:gridSpan w:val="2"/>
          </w:tcPr>
          <w:p w14:paraId="0648F50C">
            <w:pPr>
              <w:widowControl/>
              <w:spacing w:line="360" w:lineRule="auto"/>
              <w:rPr>
                <w:rFonts w:ascii="宋体" w:hAnsi="宋体" w:eastAsia="宋体" w:cs="宋体"/>
                <w:b/>
                <w:szCs w:val="21"/>
              </w:rPr>
            </w:pPr>
            <w:r>
              <w:rPr>
                <w:rFonts w:ascii="宋体" w:hAnsi="宋体" w:eastAsia="宋体" w:cs="宋体"/>
                <w:bCs/>
                <w:szCs w:val="21"/>
              </w:rPr>
              <w:t>3</w:t>
            </w:r>
            <w:r>
              <w:rPr>
                <w:rFonts w:hint="eastAsia" w:ascii="宋体" w:hAnsi="宋体" w:eastAsia="宋体" w:cs="宋体"/>
                <w:bCs/>
                <w:szCs w:val="21"/>
              </w:rPr>
              <w:t>.1货物原厂免费保修期</w:t>
            </w:r>
            <w:r>
              <w:rPr>
                <w:rFonts w:hint="eastAsia" w:ascii="宋体" w:hAnsi="宋体" w:eastAsia="宋体" w:cs="宋体"/>
                <w:bCs/>
                <w:szCs w:val="21"/>
                <w:u w:val="single"/>
              </w:rPr>
              <w:t xml:space="preserve"> 三年</w:t>
            </w:r>
            <w:r>
              <w:rPr>
                <w:rFonts w:hint="eastAsia" w:ascii="宋体" w:hAnsi="宋体" w:eastAsia="宋体" w:cs="宋体"/>
                <w:bCs/>
                <w:szCs w:val="21"/>
              </w:rPr>
              <w:t>，时间自最终验收合格并交付使用之日起计算。</w:t>
            </w:r>
          </w:p>
        </w:tc>
      </w:tr>
      <w:tr w14:paraId="1B78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vAlign w:val="center"/>
          </w:tcPr>
          <w:p w14:paraId="2FB3498D">
            <w:pPr>
              <w:widowControl/>
              <w:spacing w:line="360" w:lineRule="auto"/>
              <w:rPr>
                <w:rFonts w:ascii="宋体" w:hAnsi="宋体" w:eastAsia="宋体" w:cs="宋体"/>
                <w:b/>
                <w:szCs w:val="21"/>
              </w:rPr>
            </w:pPr>
          </w:p>
        </w:tc>
        <w:tc>
          <w:tcPr>
            <w:tcW w:w="1830" w:type="dxa"/>
            <w:vMerge w:val="continue"/>
            <w:vAlign w:val="center"/>
          </w:tcPr>
          <w:p w14:paraId="0C196D09">
            <w:pPr>
              <w:widowControl/>
              <w:spacing w:line="360" w:lineRule="auto"/>
              <w:rPr>
                <w:rFonts w:ascii="宋体" w:hAnsi="宋体" w:eastAsia="宋体" w:cs="宋体"/>
                <w:b/>
                <w:szCs w:val="21"/>
              </w:rPr>
            </w:pPr>
          </w:p>
        </w:tc>
        <w:tc>
          <w:tcPr>
            <w:tcW w:w="6613" w:type="dxa"/>
            <w:gridSpan w:val="2"/>
            <w:vAlign w:val="center"/>
          </w:tcPr>
          <w:p w14:paraId="46789855">
            <w:pPr>
              <w:widowControl/>
              <w:spacing w:line="360" w:lineRule="auto"/>
              <w:rPr>
                <w:rFonts w:ascii="宋体" w:hAnsi="宋体" w:eastAsia="宋体" w:cs="宋体"/>
                <w:bCs/>
                <w:szCs w:val="21"/>
              </w:rPr>
            </w:pPr>
            <w:r>
              <w:rPr>
                <w:rFonts w:ascii="宋体" w:hAnsi="宋体" w:eastAsia="宋体" w:cs="宋体"/>
                <w:bCs/>
                <w:szCs w:val="21"/>
              </w:rPr>
              <w:t>3</w:t>
            </w:r>
            <w:r>
              <w:rPr>
                <w:rFonts w:hint="eastAsia" w:ascii="宋体" w:hAnsi="宋体" w:eastAsia="宋体" w:cs="宋体"/>
                <w:bCs/>
                <w:szCs w:val="21"/>
              </w:rPr>
              <w:t>.2免费保修期内，所有服务及配件全部免费。供应商</w:t>
            </w:r>
            <w:r>
              <w:rPr>
                <w:rFonts w:ascii="宋体" w:hAnsi="宋体" w:eastAsia="宋体" w:cs="宋体"/>
                <w:bCs/>
                <w:szCs w:val="21"/>
              </w:rPr>
              <w:t>负责对其提供的货物进行维修和系统维护，不再收取任何费用。</w:t>
            </w:r>
            <w:r>
              <w:rPr>
                <w:rFonts w:hint="eastAsia" w:ascii="宋体" w:hAnsi="宋体" w:eastAsia="宋体" w:cs="宋体"/>
                <w:bCs/>
                <w:szCs w:val="21"/>
              </w:rPr>
              <w:t>所有货物保修服务方式均为供应商上门保修，即由供应商派员到货物使用现场维修，由此产生的一切费用（包括但不限于人工费、配件费、交通费）均由供应商承担。</w:t>
            </w:r>
          </w:p>
        </w:tc>
      </w:tr>
      <w:tr w14:paraId="775EE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7" w:type="dxa"/>
            <w:gridSpan w:val="4"/>
            <w:vAlign w:val="center"/>
          </w:tcPr>
          <w:p w14:paraId="417D1A18">
            <w:pPr>
              <w:widowControl/>
              <w:spacing w:line="360" w:lineRule="auto"/>
              <w:rPr>
                <w:rFonts w:ascii="宋体" w:hAnsi="宋体" w:eastAsia="宋体" w:cs="宋体"/>
                <w:b/>
                <w:szCs w:val="21"/>
              </w:rPr>
            </w:pPr>
            <w:r>
              <w:rPr>
                <w:rFonts w:hint="eastAsia" w:ascii="宋体" w:hAnsi="宋体" w:eastAsia="宋体" w:cs="宋体"/>
                <w:b/>
                <w:szCs w:val="21"/>
              </w:rPr>
              <w:t>（二）其他商务要求</w:t>
            </w:r>
          </w:p>
        </w:tc>
      </w:tr>
      <w:tr w14:paraId="1A46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restart"/>
            <w:vAlign w:val="center"/>
          </w:tcPr>
          <w:p w14:paraId="0EC39001">
            <w:pPr>
              <w:widowControl/>
              <w:spacing w:line="360" w:lineRule="auto"/>
              <w:jc w:val="center"/>
              <w:rPr>
                <w:rFonts w:ascii="宋体" w:hAnsi="宋体" w:eastAsia="宋体" w:cs="宋体"/>
                <w:bCs/>
                <w:szCs w:val="21"/>
              </w:rPr>
            </w:pPr>
            <w:bookmarkStart w:id="0" w:name="_Hlk72260973"/>
            <w:r>
              <w:rPr>
                <w:rFonts w:hint="eastAsia" w:ascii="宋体" w:hAnsi="宋体" w:eastAsia="宋体" w:cs="宋体"/>
                <w:bCs/>
                <w:szCs w:val="21"/>
              </w:rPr>
              <w:t>1</w:t>
            </w:r>
          </w:p>
        </w:tc>
        <w:tc>
          <w:tcPr>
            <w:tcW w:w="1858" w:type="dxa"/>
            <w:gridSpan w:val="2"/>
            <w:vMerge w:val="restart"/>
            <w:vAlign w:val="center"/>
          </w:tcPr>
          <w:p w14:paraId="7F78293C">
            <w:pPr>
              <w:widowControl/>
              <w:spacing w:line="360" w:lineRule="auto"/>
              <w:jc w:val="center"/>
              <w:rPr>
                <w:rFonts w:ascii="宋体" w:hAnsi="宋体" w:eastAsia="宋体" w:cs="宋体"/>
                <w:bCs/>
                <w:szCs w:val="21"/>
              </w:rPr>
            </w:pPr>
            <w:r>
              <w:rPr>
                <w:rFonts w:hint="eastAsia" w:ascii="宋体" w:hAnsi="宋体" w:eastAsia="宋体" w:cs="宋体"/>
                <w:bCs/>
                <w:szCs w:val="21"/>
              </w:rPr>
              <w:t>必备条款</w:t>
            </w:r>
          </w:p>
        </w:tc>
        <w:tc>
          <w:tcPr>
            <w:tcW w:w="6585" w:type="dxa"/>
            <w:vAlign w:val="center"/>
          </w:tcPr>
          <w:p w14:paraId="3FD2EFD0">
            <w:pPr>
              <w:widowControl/>
              <w:spacing w:line="360" w:lineRule="auto"/>
              <w:rPr>
                <w:rFonts w:ascii="宋体" w:hAnsi="宋体" w:eastAsia="宋体" w:cs="宋体"/>
                <w:szCs w:val="21"/>
              </w:rPr>
            </w:pPr>
            <w:r>
              <w:rPr>
                <w:rFonts w:hint="eastAsia" w:ascii="宋体" w:hAnsi="宋体" w:eastAsia="宋体" w:cs="宋体"/>
                <w:szCs w:val="21"/>
              </w:rPr>
              <w:t>1.1履约时间和地点：供应商在签订合同之日起5天内交货，交货地点为采购方指定位置。</w:t>
            </w:r>
          </w:p>
        </w:tc>
      </w:tr>
      <w:tr w14:paraId="05DC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vAlign w:val="center"/>
          </w:tcPr>
          <w:p w14:paraId="2A0E42EC">
            <w:pPr>
              <w:widowControl/>
              <w:spacing w:line="360" w:lineRule="auto"/>
              <w:jc w:val="center"/>
              <w:rPr>
                <w:rFonts w:ascii="宋体" w:hAnsi="宋体" w:eastAsia="宋体" w:cs="宋体"/>
                <w:b/>
                <w:szCs w:val="21"/>
              </w:rPr>
            </w:pPr>
          </w:p>
        </w:tc>
        <w:tc>
          <w:tcPr>
            <w:tcW w:w="1858" w:type="dxa"/>
            <w:gridSpan w:val="2"/>
            <w:vMerge w:val="continue"/>
            <w:vAlign w:val="center"/>
          </w:tcPr>
          <w:p w14:paraId="002A110F">
            <w:pPr>
              <w:widowControl/>
              <w:spacing w:line="360" w:lineRule="auto"/>
              <w:jc w:val="center"/>
              <w:rPr>
                <w:rFonts w:ascii="宋体" w:hAnsi="宋体" w:eastAsia="宋体" w:cs="宋体"/>
                <w:b/>
                <w:szCs w:val="21"/>
              </w:rPr>
            </w:pPr>
          </w:p>
        </w:tc>
        <w:tc>
          <w:tcPr>
            <w:tcW w:w="6585" w:type="dxa"/>
            <w:vAlign w:val="center"/>
          </w:tcPr>
          <w:p w14:paraId="68DD1E33">
            <w:pPr>
              <w:widowControl/>
              <w:spacing w:line="360" w:lineRule="auto"/>
              <w:rPr>
                <w:rFonts w:ascii="宋体" w:hAnsi="宋体" w:eastAsia="宋体" w:cs="宋体"/>
                <w:szCs w:val="21"/>
              </w:rPr>
            </w:pPr>
            <w:r>
              <w:rPr>
                <w:rFonts w:hint="eastAsia" w:ascii="宋体" w:hAnsi="宋体" w:eastAsia="宋体" w:cs="宋体"/>
                <w:szCs w:val="21"/>
              </w:rPr>
              <w:t>1.2付款期限和方式：货物验收合格后，由采购方根据内部财务流程进行对公转账支付。</w:t>
            </w:r>
          </w:p>
        </w:tc>
      </w:tr>
      <w:tr w14:paraId="5F7F7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vAlign w:val="center"/>
          </w:tcPr>
          <w:p w14:paraId="768421DB">
            <w:pPr>
              <w:widowControl/>
              <w:spacing w:line="360" w:lineRule="auto"/>
              <w:jc w:val="center"/>
              <w:rPr>
                <w:rFonts w:ascii="宋体" w:hAnsi="宋体" w:eastAsia="宋体" w:cs="宋体"/>
                <w:b/>
                <w:szCs w:val="21"/>
              </w:rPr>
            </w:pPr>
          </w:p>
        </w:tc>
        <w:tc>
          <w:tcPr>
            <w:tcW w:w="1858" w:type="dxa"/>
            <w:gridSpan w:val="2"/>
            <w:vMerge w:val="continue"/>
            <w:vAlign w:val="center"/>
          </w:tcPr>
          <w:p w14:paraId="4613B5BC">
            <w:pPr>
              <w:widowControl/>
              <w:spacing w:line="360" w:lineRule="auto"/>
              <w:jc w:val="center"/>
              <w:rPr>
                <w:rFonts w:ascii="宋体" w:hAnsi="宋体" w:eastAsia="宋体" w:cs="宋体"/>
                <w:szCs w:val="21"/>
              </w:rPr>
            </w:pPr>
          </w:p>
        </w:tc>
        <w:tc>
          <w:tcPr>
            <w:tcW w:w="6585" w:type="dxa"/>
            <w:vAlign w:val="center"/>
          </w:tcPr>
          <w:p w14:paraId="7D2FCBC7">
            <w:pPr>
              <w:widowControl/>
              <w:spacing w:line="360" w:lineRule="auto"/>
              <w:rPr>
                <w:rFonts w:ascii="宋体" w:hAnsi="宋体" w:eastAsia="宋体" w:cs="宋体"/>
                <w:szCs w:val="21"/>
              </w:rPr>
            </w:pPr>
            <w:r>
              <w:rPr>
                <w:rFonts w:hint="eastAsia" w:ascii="宋体" w:hAnsi="宋体" w:eastAsia="宋体" w:cs="宋体"/>
                <w:szCs w:val="21"/>
              </w:rPr>
              <w:t>1.3验收条件：</w:t>
            </w:r>
          </w:p>
          <w:p w14:paraId="2DA9935F">
            <w:pPr>
              <w:widowControl/>
              <w:spacing w:line="360" w:lineRule="auto"/>
              <w:rPr>
                <w:rFonts w:ascii="宋体" w:hAnsi="宋体" w:eastAsia="宋体" w:cs="宋体"/>
                <w:bCs/>
                <w:szCs w:val="21"/>
              </w:rPr>
            </w:pPr>
            <w:r>
              <w:rPr>
                <w:rFonts w:hint="eastAsia" w:ascii="宋体" w:hAnsi="宋体" w:eastAsia="宋体" w:cs="宋体"/>
                <w:bCs/>
                <w:szCs w:val="21"/>
              </w:rPr>
              <w:t>当满足以下条件时，招标人才向中标人签发货物验收报告：</w:t>
            </w:r>
          </w:p>
          <w:p w14:paraId="5D876393">
            <w:pPr>
              <w:widowControl/>
              <w:spacing w:line="360" w:lineRule="auto"/>
              <w:rPr>
                <w:rFonts w:ascii="宋体" w:hAnsi="宋体" w:eastAsia="宋体" w:cs="宋体"/>
                <w:bCs/>
                <w:szCs w:val="21"/>
              </w:rPr>
            </w:pPr>
            <w:r>
              <w:rPr>
                <w:rFonts w:hint="eastAsia" w:ascii="宋体" w:hAnsi="宋体" w:eastAsia="宋体" w:cs="宋体"/>
                <w:bCs/>
                <w:szCs w:val="21"/>
              </w:rPr>
              <w:t>a、中标人已按照合同规定提供了全部产品及完整的技术资料。</w:t>
            </w:r>
          </w:p>
          <w:p w14:paraId="2E03E3DB">
            <w:pPr>
              <w:widowControl/>
              <w:spacing w:line="360" w:lineRule="auto"/>
              <w:rPr>
                <w:rFonts w:ascii="宋体" w:hAnsi="宋体" w:eastAsia="宋体" w:cs="宋体"/>
                <w:bCs/>
                <w:szCs w:val="21"/>
              </w:rPr>
            </w:pPr>
            <w:r>
              <w:rPr>
                <w:rFonts w:hint="eastAsia" w:ascii="宋体" w:hAnsi="宋体" w:eastAsia="宋体" w:cs="宋体"/>
                <w:bCs/>
                <w:szCs w:val="21"/>
              </w:rPr>
              <w:t>b、货物符合满足采购文件及合同的技术要求，性能满足要求。</w:t>
            </w:r>
          </w:p>
          <w:p w14:paraId="1E63389C">
            <w:pPr>
              <w:widowControl/>
              <w:spacing w:line="360" w:lineRule="auto"/>
              <w:rPr>
                <w:rFonts w:ascii="宋体" w:hAnsi="宋体" w:eastAsia="宋体" w:cs="宋体"/>
                <w:szCs w:val="21"/>
              </w:rPr>
            </w:pPr>
            <w:r>
              <w:rPr>
                <w:rFonts w:hint="eastAsia" w:ascii="宋体" w:hAnsi="宋体" w:eastAsia="宋体" w:cs="宋体"/>
                <w:szCs w:val="21"/>
              </w:rPr>
              <w:t>c、投标人货物经过双方检验认可后，签署验收报告，产品保修期自验收合格之日起算，由投标人提供产品保修文件。</w:t>
            </w:r>
          </w:p>
        </w:tc>
      </w:tr>
      <w:tr w14:paraId="4F79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vAlign w:val="center"/>
          </w:tcPr>
          <w:p w14:paraId="379B3183">
            <w:pPr>
              <w:widowControl/>
              <w:spacing w:line="360" w:lineRule="auto"/>
              <w:jc w:val="center"/>
              <w:rPr>
                <w:rFonts w:ascii="宋体" w:hAnsi="宋体" w:eastAsia="宋体" w:cs="宋体"/>
                <w:b/>
                <w:szCs w:val="21"/>
              </w:rPr>
            </w:pPr>
          </w:p>
        </w:tc>
        <w:tc>
          <w:tcPr>
            <w:tcW w:w="1858" w:type="dxa"/>
            <w:gridSpan w:val="2"/>
            <w:vMerge w:val="continue"/>
            <w:vAlign w:val="center"/>
          </w:tcPr>
          <w:p w14:paraId="57C730E6">
            <w:pPr>
              <w:widowControl/>
              <w:spacing w:line="360" w:lineRule="auto"/>
              <w:jc w:val="center"/>
              <w:rPr>
                <w:rFonts w:ascii="宋体" w:hAnsi="宋体" w:eastAsia="宋体" w:cs="宋体"/>
                <w:szCs w:val="21"/>
              </w:rPr>
            </w:pPr>
          </w:p>
        </w:tc>
        <w:tc>
          <w:tcPr>
            <w:tcW w:w="6585" w:type="dxa"/>
          </w:tcPr>
          <w:p w14:paraId="0FABDE3F">
            <w:pPr>
              <w:widowControl/>
              <w:spacing w:line="360" w:lineRule="auto"/>
              <w:rPr>
                <w:rFonts w:ascii="宋体" w:hAnsi="宋体" w:eastAsia="宋体" w:cs="宋体"/>
                <w:szCs w:val="21"/>
              </w:rPr>
            </w:pPr>
            <w:r>
              <w:rPr>
                <w:rFonts w:hint="eastAsia" w:ascii="宋体" w:hAnsi="宋体" w:eastAsia="宋体" w:cs="宋体"/>
                <w:szCs w:val="21"/>
              </w:rPr>
              <w:t>1.4违约责任：</w:t>
            </w:r>
            <w:r>
              <w:rPr>
                <w:rFonts w:hint="eastAsia" w:ascii="宋体" w:hAnsi="宋体" w:eastAsia="宋体" w:cs="宋体"/>
                <w:bCs/>
                <w:szCs w:val="21"/>
              </w:rPr>
              <w:t>中标人所交付产品、工程或服务不符合其投标承诺的，或在投标阶段为了中标而盲目虚假承诺、低价恶性竞争，在履约阶段则通过偷工减料、以次充好而获取利润的，履约评价工作实施机构评为履约等级“差”并按主管部门相关规定处理</w:t>
            </w:r>
            <w:r>
              <w:rPr>
                <w:rFonts w:hint="eastAsia" w:ascii="宋体" w:hAnsi="宋体" w:eastAsia="宋体" w:cs="宋体"/>
                <w:szCs w:val="21"/>
              </w:rPr>
              <w:t>。</w:t>
            </w:r>
          </w:p>
        </w:tc>
      </w:tr>
      <w:bookmarkEnd w:id="0"/>
      <w:tr w14:paraId="7AD4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704" w:type="dxa"/>
            <w:vMerge w:val="restart"/>
            <w:vAlign w:val="center"/>
          </w:tcPr>
          <w:p w14:paraId="0CB73615">
            <w:pPr>
              <w:widowControl/>
              <w:spacing w:line="360" w:lineRule="auto"/>
              <w:jc w:val="center"/>
              <w:rPr>
                <w:rFonts w:ascii="宋体" w:hAnsi="宋体" w:eastAsia="宋体" w:cs="宋体"/>
                <w:b/>
                <w:szCs w:val="21"/>
              </w:rPr>
            </w:pPr>
            <w:r>
              <w:rPr>
                <w:rFonts w:hint="eastAsia" w:ascii="宋体" w:hAnsi="宋体" w:eastAsia="宋体" w:cs="宋体"/>
                <w:b/>
                <w:szCs w:val="21"/>
              </w:rPr>
              <w:t>2</w:t>
            </w:r>
          </w:p>
        </w:tc>
        <w:tc>
          <w:tcPr>
            <w:tcW w:w="1858" w:type="dxa"/>
            <w:gridSpan w:val="2"/>
            <w:vMerge w:val="restart"/>
            <w:vAlign w:val="center"/>
          </w:tcPr>
          <w:p w14:paraId="6BA288A3">
            <w:pPr>
              <w:widowControl/>
              <w:spacing w:line="360" w:lineRule="auto"/>
              <w:jc w:val="center"/>
              <w:rPr>
                <w:rFonts w:ascii="宋体" w:hAnsi="宋体" w:eastAsia="宋体" w:cs="宋体"/>
                <w:szCs w:val="21"/>
              </w:rPr>
            </w:pPr>
            <w:r>
              <w:rPr>
                <w:rStyle w:val="11"/>
                <w:rFonts w:hint="eastAsia" w:ascii="宋体" w:hAnsi="宋体" w:eastAsia="宋体" w:cs="宋体"/>
                <w:szCs w:val="21"/>
              </w:rPr>
              <w:t>运输及安装、调试</w:t>
            </w:r>
          </w:p>
        </w:tc>
        <w:tc>
          <w:tcPr>
            <w:tcW w:w="6585" w:type="dxa"/>
            <w:vAlign w:val="center"/>
          </w:tcPr>
          <w:p w14:paraId="5560BA38">
            <w:pPr>
              <w:widowControl/>
              <w:spacing w:line="360" w:lineRule="auto"/>
              <w:rPr>
                <w:rFonts w:ascii="宋体" w:hAnsi="宋体" w:eastAsia="宋体" w:cs="宋体"/>
                <w:bCs/>
                <w:szCs w:val="21"/>
              </w:rPr>
            </w:pPr>
            <w:r>
              <w:rPr>
                <w:rFonts w:hint="eastAsia" w:ascii="宋体" w:hAnsi="宋体" w:eastAsia="宋体" w:cs="宋体"/>
                <w:szCs w:val="21"/>
              </w:rPr>
              <w:t xml:space="preserve">2.1 供应商须在签订合同之日起 </w:t>
            </w:r>
            <w:r>
              <w:rPr>
                <w:rFonts w:ascii="宋体" w:hAnsi="宋体" w:eastAsia="宋体" w:cs="宋体"/>
                <w:szCs w:val="21"/>
              </w:rPr>
              <w:t>3</w:t>
            </w:r>
            <w:r>
              <w:rPr>
                <w:rFonts w:hint="eastAsia" w:ascii="宋体" w:hAnsi="宋体" w:eastAsia="宋体" w:cs="宋体"/>
                <w:szCs w:val="21"/>
              </w:rPr>
              <w:t>天内向采购人提供设备的运行、安装、使用环境要求。</w:t>
            </w:r>
          </w:p>
        </w:tc>
      </w:tr>
      <w:tr w14:paraId="4D16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704" w:type="dxa"/>
            <w:vMerge w:val="continue"/>
            <w:vAlign w:val="center"/>
          </w:tcPr>
          <w:p w14:paraId="320D5DCD">
            <w:pPr>
              <w:widowControl/>
              <w:spacing w:line="360" w:lineRule="auto"/>
              <w:jc w:val="center"/>
              <w:rPr>
                <w:rFonts w:ascii="宋体" w:hAnsi="宋体" w:eastAsia="宋体" w:cs="宋体"/>
                <w:b/>
                <w:szCs w:val="21"/>
              </w:rPr>
            </w:pPr>
          </w:p>
        </w:tc>
        <w:tc>
          <w:tcPr>
            <w:tcW w:w="1858" w:type="dxa"/>
            <w:gridSpan w:val="2"/>
            <w:vMerge w:val="continue"/>
            <w:vAlign w:val="center"/>
          </w:tcPr>
          <w:p w14:paraId="45D45757">
            <w:pPr>
              <w:widowControl/>
              <w:spacing w:line="360" w:lineRule="auto"/>
              <w:jc w:val="center"/>
              <w:rPr>
                <w:rStyle w:val="11"/>
                <w:rFonts w:ascii="宋体" w:hAnsi="宋体" w:eastAsia="宋体" w:cs="宋体"/>
                <w:szCs w:val="21"/>
              </w:rPr>
            </w:pPr>
          </w:p>
        </w:tc>
        <w:tc>
          <w:tcPr>
            <w:tcW w:w="6585" w:type="dxa"/>
            <w:vAlign w:val="center"/>
          </w:tcPr>
          <w:p w14:paraId="7E278496">
            <w:pPr>
              <w:spacing w:line="360" w:lineRule="auto"/>
              <w:rPr>
                <w:rFonts w:ascii="宋体" w:hAnsi="宋体" w:eastAsia="宋体" w:cs="宋体"/>
                <w:szCs w:val="21"/>
              </w:rPr>
            </w:pPr>
            <w:r>
              <w:rPr>
                <w:rFonts w:hint="eastAsia" w:ascii="宋体" w:hAnsi="宋体" w:eastAsia="宋体" w:cs="宋体"/>
                <w:bCs/>
                <w:szCs w:val="21"/>
              </w:rPr>
              <w:t>2.2供应商须对产品进行免费安装并提供完成本项目而需要的线材和配件。</w:t>
            </w:r>
          </w:p>
        </w:tc>
      </w:tr>
      <w:tr w14:paraId="128C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04" w:type="dxa"/>
            <w:vMerge w:val="continue"/>
            <w:vAlign w:val="center"/>
          </w:tcPr>
          <w:p w14:paraId="21EFDC4A">
            <w:pPr>
              <w:widowControl/>
              <w:spacing w:line="360" w:lineRule="auto"/>
              <w:jc w:val="center"/>
              <w:rPr>
                <w:rFonts w:ascii="宋体" w:hAnsi="宋体" w:eastAsia="宋体" w:cs="宋体"/>
                <w:b/>
                <w:szCs w:val="21"/>
              </w:rPr>
            </w:pPr>
          </w:p>
        </w:tc>
        <w:tc>
          <w:tcPr>
            <w:tcW w:w="1858" w:type="dxa"/>
            <w:gridSpan w:val="2"/>
            <w:vMerge w:val="continue"/>
            <w:vAlign w:val="center"/>
          </w:tcPr>
          <w:p w14:paraId="09E2CD5D">
            <w:pPr>
              <w:widowControl/>
              <w:spacing w:line="360" w:lineRule="auto"/>
              <w:jc w:val="center"/>
              <w:rPr>
                <w:rStyle w:val="11"/>
                <w:rFonts w:ascii="宋体" w:hAnsi="宋体" w:eastAsia="宋体" w:cs="宋体"/>
                <w:szCs w:val="21"/>
              </w:rPr>
            </w:pPr>
          </w:p>
        </w:tc>
        <w:tc>
          <w:tcPr>
            <w:tcW w:w="6585" w:type="dxa"/>
            <w:vAlign w:val="center"/>
          </w:tcPr>
          <w:p w14:paraId="5CED3164">
            <w:pPr>
              <w:widowControl/>
              <w:spacing w:line="360" w:lineRule="auto"/>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3 成交人将产品运输并卸至采购人指定地点，采购人将会同成交人及相关单位在到货后1个日历日内共同进行开箱检验。</w:t>
            </w:r>
          </w:p>
        </w:tc>
      </w:tr>
      <w:tr w14:paraId="7ED0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04" w:type="dxa"/>
            <w:vMerge w:val="continue"/>
            <w:vAlign w:val="center"/>
          </w:tcPr>
          <w:p w14:paraId="386AD9A6">
            <w:pPr>
              <w:widowControl/>
              <w:spacing w:line="360" w:lineRule="auto"/>
              <w:jc w:val="center"/>
              <w:rPr>
                <w:rFonts w:ascii="宋体" w:hAnsi="宋体" w:eastAsia="宋体" w:cs="宋体"/>
                <w:b/>
                <w:szCs w:val="21"/>
              </w:rPr>
            </w:pPr>
          </w:p>
        </w:tc>
        <w:tc>
          <w:tcPr>
            <w:tcW w:w="1858" w:type="dxa"/>
            <w:gridSpan w:val="2"/>
            <w:vMerge w:val="continue"/>
            <w:vAlign w:val="center"/>
          </w:tcPr>
          <w:p w14:paraId="762C7A16">
            <w:pPr>
              <w:widowControl/>
              <w:spacing w:line="360" w:lineRule="auto"/>
              <w:jc w:val="center"/>
              <w:rPr>
                <w:rStyle w:val="11"/>
                <w:rFonts w:ascii="宋体" w:hAnsi="宋体" w:eastAsia="宋体" w:cs="宋体"/>
                <w:szCs w:val="21"/>
              </w:rPr>
            </w:pPr>
          </w:p>
        </w:tc>
        <w:tc>
          <w:tcPr>
            <w:tcW w:w="6585" w:type="dxa"/>
            <w:vAlign w:val="center"/>
          </w:tcPr>
          <w:p w14:paraId="23549475">
            <w:pPr>
              <w:widowControl/>
              <w:spacing w:line="360" w:lineRule="auto"/>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4 成交人负责免费运输、调试。安装、调试完成后，由采购人组织技术验收和商务验收，成交人做好协助配合。验收合格后签署《验收报告》。</w:t>
            </w:r>
          </w:p>
        </w:tc>
      </w:tr>
      <w:tr w14:paraId="6A302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04" w:type="dxa"/>
            <w:vMerge w:val="continue"/>
            <w:vAlign w:val="center"/>
          </w:tcPr>
          <w:p w14:paraId="091E3043">
            <w:pPr>
              <w:widowControl/>
              <w:spacing w:line="360" w:lineRule="auto"/>
              <w:jc w:val="center"/>
              <w:rPr>
                <w:rFonts w:ascii="宋体" w:hAnsi="宋体" w:eastAsia="宋体" w:cs="宋体"/>
                <w:b/>
                <w:szCs w:val="21"/>
              </w:rPr>
            </w:pPr>
          </w:p>
        </w:tc>
        <w:tc>
          <w:tcPr>
            <w:tcW w:w="1858" w:type="dxa"/>
            <w:gridSpan w:val="2"/>
            <w:vMerge w:val="continue"/>
            <w:vAlign w:val="center"/>
          </w:tcPr>
          <w:p w14:paraId="662E2160">
            <w:pPr>
              <w:widowControl/>
              <w:spacing w:line="360" w:lineRule="auto"/>
              <w:jc w:val="center"/>
              <w:rPr>
                <w:rStyle w:val="11"/>
                <w:rFonts w:ascii="宋体" w:hAnsi="宋体" w:eastAsia="宋体" w:cs="宋体"/>
                <w:szCs w:val="21"/>
              </w:rPr>
            </w:pPr>
          </w:p>
        </w:tc>
        <w:tc>
          <w:tcPr>
            <w:tcW w:w="6585" w:type="dxa"/>
            <w:vAlign w:val="center"/>
          </w:tcPr>
          <w:p w14:paraId="12C35212">
            <w:pPr>
              <w:widowControl/>
              <w:spacing w:line="360" w:lineRule="auto"/>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5</w:t>
            </w:r>
            <w:r>
              <w:rPr>
                <w:rFonts w:ascii="宋体" w:hAnsi="宋体" w:eastAsia="宋体" w:cs="宋体"/>
                <w:szCs w:val="21"/>
              </w:rPr>
              <w:t xml:space="preserve"> </w:t>
            </w:r>
            <w:r>
              <w:rPr>
                <w:rFonts w:hint="eastAsia" w:ascii="宋体" w:hAnsi="宋体" w:eastAsia="宋体" w:cs="宋体"/>
                <w:szCs w:val="21"/>
              </w:rPr>
              <w:t>验收中如发现有质量不合格或型号规格、数量等与送货清单不符、提交的技术文件和资料不完整等情形，成交人应免费更换或补齐，并按照“其它商务要求”中的“违约责任”承担相应责任。</w:t>
            </w:r>
          </w:p>
        </w:tc>
      </w:tr>
      <w:tr w14:paraId="4ADD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04" w:type="dxa"/>
            <w:vMerge w:val="continue"/>
            <w:vAlign w:val="center"/>
          </w:tcPr>
          <w:p w14:paraId="31334D51">
            <w:pPr>
              <w:widowControl/>
              <w:spacing w:line="360" w:lineRule="auto"/>
              <w:jc w:val="center"/>
              <w:rPr>
                <w:rFonts w:ascii="宋体" w:hAnsi="宋体" w:eastAsia="宋体" w:cs="宋体"/>
                <w:b/>
                <w:szCs w:val="21"/>
              </w:rPr>
            </w:pPr>
          </w:p>
        </w:tc>
        <w:tc>
          <w:tcPr>
            <w:tcW w:w="1858" w:type="dxa"/>
            <w:gridSpan w:val="2"/>
            <w:vMerge w:val="continue"/>
            <w:vAlign w:val="center"/>
          </w:tcPr>
          <w:p w14:paraId="1829EA6E">
            <w:pPr>
              <w:widowControl/>
              <w:spacing w:line="360" w:lineRule="auto"/>
              <w:jc w:val="center"/>
              <w:rPr>
                <w:rStyle w:val="11"/>
                <w:rFonts w:ascii="宋体" w:hAnsi="宋体" w:eastAsia="宋体" w:cs="宋体"/>
                <w:szCs w:val="21"/>
              </w:rPr>
            </w:pPr>
          </w:p>
        </w:tc>
        <w:tc>
          <w:tcPr>
            <w:tcW w:w="6585" w:type="dxa"/>
            <w:vAlign w:val="center"/>
          </w:tcPr>
          <w:p w14:paraId="1B1334D0">
            <w:pPr>
              <w:widowControl/>
              <w:spacing w:line="360" w:lineRule="auto"/>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6</w:t>
            </w:r>
            <w:r>
              <w:rPr>
                <w:rFonts w:ascii="宋体" w:hAnsi="宋体" w:eastAsia="宋体" w:cs="宋体"/>
                <w:szCs w:val="21"/>
              </w:rPr>
              <w:t xml:space="preserve"> </w:t>
            </w:r>
            <w:r>
              <w:rPr>
                <w:rFonts w:hint="eastAsia" w:ascii="宋体" w:hAnsi="宋体" w:eastAsia="宋体" w:cs="宋体"/>
                <w:szCs w:val="21"/>
              </w:rPr>
              <w:t>设备验收时，成交人应派人参加，否则采购人有权单方面验收，并以此验收为准。</w:t>
            </w:r>
          </w:p>
        </w:tc>
      </w:tr>
      <w:tr w14:paraId="4A88B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04" w:type="dxa"/>
            <w:vMerge w:val="continue"/>
            <w:vAlign w:val="center"/>
          </w:tcPr>
          <w:p w14:paraId="3856AAE4">
            <w:pPr>
              <w:widowControl/>
              <w:spacing w:line="360" w:lineRule="auto"/>
              <w:jc w:val="center"/>
              <w:rPr>
                <w:rFonts w:ascii="宋体" w:hAnsi="宋体" w:eastAsia="宋体" w:cs="宋体"/>
                <w:b/>
                <w:szCs w:val="21"/>
              </w:rPr>
            </w:pPr>
          </w:p>
        </w:tc>
        <w:tc>
          <w:tcPr>
            <w:tcW w:w="1858" w:type="dxa"/>
            <w:gridSpan w:val="2"/>
            <w:vMerge w:val="continue"/>
            <w:vAlign w:val="center"/>
          </w:tcPr>
          <w:p w14:paraId="6FE6CBE9">
            <w:pPr>
              <w:widowControl/>
              <w:spacing w:line="360" w:lineRule="auto"/>
              <w:jc w:val="center"/>
              <w:rPr>
                <w:rStyle w:val="11"/>
                <w:rFonts w:ascii="宋体" w:hAnsi="宋体" w:eastAsia="宋体" w:cs="宋体"/>
                <w:szCs w:val="21"/>
              </w:rPr>
            </w:pPr>
          </w:p>
        </w:tc>
        <w:tc>
          <w:tcPr>
            <w:tcW w:w="6585" w:type="dxa"/>
            <w:vAlign w:val="center"/>
          </w:tcPr>
          <w:p w14:paraId="042996BE">
            <w:pPr>
              <w:widowControl/>
              <w:spacing w:line="360" w:lineRule="auto"/>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7</w:t>
            </w:r>
            <w:r>
              <w:rPr>
                <w:rFonts w:ascii="宋体" w:hAnsi="宋体" w:eastAsia="宋体" w:cs="宋体"/>
                <w:szCs w:val="21"/>
              </w:rPr>
              <w:t xml:space="preserve"> </w:t>
            </w:r>
            <w:r>
              <w:rPr>
                <w:rFonts w:hint="eastAsia" w:ascii="宋体" w:hAnsi="宋体" w:eastAsia="宋体" w:cs="宋体"/>
                <w:szCs w:val="21"/>
              </w:rPr>
              <w:t>成交人验收合格前，设备的一切风险（包括但不限于设备的损毁、灭失及可能的侵权等），均由成交人承担。</w:t>
            </w:r>
          </w:p>
        </w:tc>
      </w:tr>
      <w:tr w14:paraId="0975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vAlign w:val="center"/>
          </w:tcPr>
          <w:p w14:paraId="5471F808">
            <w:pPr>
              <w:widowControl/>
              <w:spacing w:line="360" w:lineRule="auto"/>
              <w:jc w:val="center"/>
              <w:rPr>
                <w:rFonts w:ascii="宋体" w:hAnsi="宋体" w:eastAsia="宋体" w:cs="宋体"/>
                <w:b/>
                <w:szCs w:val="21"/>
              </w:rPr>
            </w:pPr>
          </w:p>
        </w:tc>
        <w:tc>
          <w:tcPr>
            <w:tcW w:w="1858" w:type="dxa"/>
            <w:gridSpan w:val="2"/>
            <w:vMerge w:val="continue"/>
            <w:vAlign w:val="center"/>
          </w:tcPr>
          <w:p w14:paraId="33452FD6">
            <w:pPr>
              <w:widowControl/>
              <w:spacing w:line="360" w:lineRule="auto"/>
              <w:rPr>
                <w:rFonts w:ascii="宋体" w:hAnsi="宋体" w:eastAsia="宋体" w:cs="宋体"/>
                <w:b/>
                <w:szCs w:val="21"/>
              </w:rPr>
            </w:pPr>
          </w:p>
        </w:tc>
        <w:tc>
          <w:tcPr>
            <w:tcW w:w="6585" w:type="dxa"/>
          </w:tcPr>
          <w:p w14:paraId="0048F1EC">
            <w:pPr>
              <w:widowControl/>
              <w:spacing w:line="360" w:lineRule="auto"/>
              <w:jc w:val="left"/>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w:t>
            </w:r>
            <w:r>
              <w:rPr>
                <w:rFonts w:ascii="宋体" w:hAnsi="宋体" w:eastAsia="宋体" w:cs="宋体"/>
                <w:szCs w:val="21"/>
              </w:rPr>
              <w:t>8</w:t>
            </w:r>
            <w:r>
              <w:rPr>
                <w:rFonts w:hint="eastAsia" w:ascii="宋体" w:hAnsi="宋体" w:eastAsia="宋体" w:cs="宋体"/>
                <w:szCs w:val="21"/>
              </w:rPr>
              <w:t xml:space="preserve"> 现场培训：供应商应提供现场技术培训，保证使用人员正常操作设备的各种功能。</w:t>
            </w:r>
          </w:p>
        </w:tc>
      </w:tr>
      <w:tr w14:paraId="5111B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04" w:type="dxa"/>
            <w:vMerge w:val="restart"/>
            <w:vAlign w:val="center"/>
          </w:tcPr>
          <w:p w14:paraId="6B0EDCD4">
            <w:pPr>
              <w:widowControl/>
              <w:spacing w:line="360" w:lineRule="auto"/>
              <w:jc w:val="center"/>
              <w:rPr>
                <w:rFonts w:ascii="宋体" w:hAnsi="宋体" w:eastAsia="宋体" w:cs="宋体"/>
                <w:b/>
                <w:szCs w:val="21"/>
              </w:rPr>
            </w:pPr>
            <w:r>
              <w:rPr>
                <w:rFonts w:ascii="宋体" w:hAnsi="宋体" w:eastAsia="宋体" w:cs="宋体"/>
                <w:b/>
                <w:szCs w:val="21"/>
              </w:rPr>
              <w:t>3</w:t>
            </w:r>
          </w:p>
        </w:tc>
        <w:tc>
          <w:tcPr>
            <w:tcW w:w="1858" w:type="dxa"/>
            <w:gridSpan w:val="2"/>
            <w:vMerge w:val="restart"/>
            <w:vAlign w:val="center"/>
          </w:tcPr>
          <w:p w14:paraId="343A9067">
            <w:pPr>
              <w:widowControl/>
              <w:spacing w:line="360" w:lineRule="auto"/>
              <w:jc w:val="center"/>
              <w:rPr>
                <w:rFonts w:ascii="宋体" w:hAnsi="宋体" w:eastAsia="宋体" w:cs="宋体"/>
                <w:b/>
                <w:szCs w:val="21"/>
              </w:rPr>
            </w:pPr>
            <w:r>
              <w:rPr>
                <w:rFonts w:hint="eastAsia" w:ascii="宋体" w:hAnsi="宋体" w:eastAsia="宋体" w:cs="宋体"/>
                <w:b/>
                <w:szCs w:val="21"/>
              </w:rPr>
              <w:t>其他</w:t>
            </w:r>
          </w:p>
        </w:tc>
        <w:tc>
          <w:tcPr>
            <w:tcW w:w="6585" w:type="dxa"/>
            <w:vAlign w:val="center"/>
          </w:tcPr>
          <w:p w14:paraId="45C27BBC">
            <w:pPr>
              <w:widowControl/>
              <w:spacing w:line="360" w:lineRule="auto"/>
              <w:jc w:val="left"/>
              <w:rPr>
                <w:rFonts w:ascii="宋体" w:hAnsi="宋体" w:eastAsia="宋体" w:cs="宋体"/>
                <w:szCs w:val="21"/>
              </w:rPr>
            </w:pPr>
            <w:r>
              <w:rPr>
                <w:rFonts w:ascii="宋体" w:hAnsi="宋体" w:eastAsia="宋体" w:cs="宋体"/>
                <w:szCs w:val="21"/>
              </w:rPr>
              <w:t>3</w:t>
            </w:r>
            <w:r>
              <w:rPr>
                <w:rFonts w:hint="eastAsia" w:ascii="宋体" w:hAnsi="宋体" w:eastAsia="宋体" w:cs="宋体"/>
                <w:szCs w:val="21"/>
              </w:rPr>
              <w:t>.1 供应商中标后须在验收时提供经厂家授权的有效项目授权书扫描件，或者能够证明货物是原厂出厂4</w:t>
            </w:r>
            <w:r>
              <w:rPr>
                <w:rFonts w:ascii="宋体" w:hAnsi="宋体" w:eastAsia="宋体" w:cs="宋体"/>
                <w:szCs w:val="21"/>
              </w:rPr>
              <w:t>00</w:t>
            </w:r>
            <w:r>
              <w:rPr>
                <w:rFonts w:hint="eastAsia" w:ascii="宋体" w:hAnsi="宋体" w:eastAsia="宋体" w:cs="宋体"/>
                <w:szCs w:val="21"/>
              </w:rPr>
              <w:t>电话查询，否则验收不通过。</w:t>
            </w:r>
          </w:p>
        </w:tc>
      </w:tr>
      <w:tr w14:paraId="23571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04" w:type="dxa"/>
            <w:vMerge w:val="continue"/>
            <w:vAlign w:val="center"/>
          </w:tcPr>
          <w:p w14:paraId="79D348D9">
            <w:pPr>
              <w:widowControl/>
              <w:spacing w:line="360" w:lineRule="auto"/>
              <w:jc w:val="center"/>
              <w:rPr>
                <w:rFonts w:ascii="宋体" w:hAnsi="宋体" w:eastAsia="宋体" w:cs="宋体"/>
                <w:b/>
                <w:szCs w:val="21"/>
              </w:rPr>
            </w:pPr>
          </w:p>
        </w:tc>
        <w:tc>
          <w:tcPr>
            <w:tcW w:w="1858" w:type="dxa"/>
            <w:gridSpan w:val="2"/>
            <w:vMerge w:val="continue"/>
            <w:vAlign w:val="center"/>
          </w:tcPr>
          <w:p w14:paraId="399EACE3">
            <w:pPr>
              <w:widowControl/>
              <w:spacing w:line="360" w:lineRule="auto"/>
              <w:jc w:val="center"/>
              <w:rPr>
                <w:rFonts w:ascii="宋体" w:hAnsi="宋体" w:eastAsia="宋体" w:cs="宋体"/>
                <w:b/>
                <w:szCs w:val="21"/>
              </w:rPr>
            </w:pPr>
          </w:p>
        </w:tc>
        <w:tc>
          <w:tcPr>
            <w:tcW w:w="6585" w:type="dxa"/>
            <w:vAlign w:val="center"/>
          </w:tcPr>
          <w:p w14:paraId="175B4447">
            <w:pPr>
              <w:widowControl/>
              <w:spacing w:line="360" w:lineRule="auto"/>
              <w:rPr>
                <w:rFonts w:ascii="宋体" w:hAnsi="宋体" w:eastAsia="宋体" w:cs="宋体"/>
                <w:szCs w:val="21"/>
              </w:rPr>
            </w:pPr>
            <w:r>
              <w:rPr>
                <w:rFonts w:ascii="宋体" w:hAnsi="宋体" w:eastAsia="宋体" w:cs="宋体"/>
                <w:szCs w:val="21"/>
              </w:rPr>
              <w:t>3</w:t>
            </w:r>
            <w:r>
              <w:rPr>
                <w:rFonts w:hint="eastAsia" w:ascii="宋体" w:hAnsi="宋体" w:eastAsia="宋体" w:cs="宋体"/>
                <w:szCs w:val="21"/>
              </w:rPr>
              <w:t>.2供应商应按其投标文件中的承诺，进行其他售后服务工作。</w:t>
            </w:r>
          </w:p>
        </w:tc>
      </w:tr>
      <w:tr w14:paraId="5B4B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04" w:type="dxa"/>
            <w:vAlign w:val="center"/>
          </w:tcPr>
          <w:p w14:paraId="699A3948">
            <w:pPr>
              <w:widowControl/>
              <w:spacing w:line="360" w:lineRule="auto"/>
              <w:jc w:val="center"/>
              <w:rPr>
                <w:rFonts w:ascii="宋体" w:hAnsi="宋体" w:eastAsia="宋体" w:cs="宋体"/>
                <w:b/>
                <w:szCs w:val="21"/>
              </w:rPr>
            </w:pPr>
            <w:r>
              <w:rPr>
                <w:rFonts w:hint="eastAsia" w:ascii="宋体" w:hAnsi="宋体" w:eastAsia="宋体" w:cs="宋体"/>
                <w:b/>
                <w:szCs w:val="21"/>
              </w:rPr>
              <w:t>4</w:t>
            </w:r>
          </w:p>
        </w:tc>
        <w:tc>
          <w:tcPr>
            <w:tcW w:w="1858" w:type="dxa"/>
            <w:gridSpan w:val="2"/>
            <w:vAlign w:val="center"/>
          </w:tcPr>
          <w:p w14:paraId="5C9462CF">
            <w:pPr>
              <w:widowControl/>
              <w:spacing w:line="360" w:lineRule="auto"/>
              <w:jc w:val="center"/>
              <w:rPr>
                <w:rFonts w:ascii="宋体" w:hAnsi="宋体" w:eastAsia="宋体" w:cs="宋体"/>
                <w:b/>
                <w:szCs w:val="21"/>
              </w:rPr>
            </w:pPr>
            <w:r>
              <w:rPr>
                <w:rFonts w:hint="eastAsia" w:ascii="宋体" w:hAnsi="宋体" w:eastAsia="宋体" w:cs="宋体"/>
                <w:b/>
                <w:szCs w:val="21"/>
              </w:rPr>
              <w:t>环境部署</w:t>
            </w:r>
          </w:p>
        </w:tc>
        <w:tc>
          <w:tcPr>
            <w:tcW w:w="6585" w:type="dxa"/>
            <w:vAlign w:val="center"/>
          </w:tcPr>
          <w:p w14:paraId="439F8F5E">
            <w:pPr>
              <w:rPr>
                <w:rFonts w:ascii="宋体" w:hAnsi="宋体" w:eastAsia="宋体" w:cs="宋体"/>
                <w:szCs w:val="21"/>
              </w:rPr>
            </w:pPr>
            <w:r>
              <w:rPr>
                <w:rFonts w:hint="eastAsia" w:ascii="宋体" w:hAnsi="宋体" w:eastAsia="宋体" w:cs="宋体"/>
                <w:szCs w:val="21"/>
              </w:rPr>
              <w:t>环境系统部署采用网页端可视化管理模式，电脑端无需安装专用软件，仅通过浏览器即可登录操作，客户端全面兼容</w:t>
            </w:r>
            <w:r>
              <w:rPr>
                <w:rFonts w:ascii="宋体" w:hAnsi="宋体" w:eastAsia="宋体" w:cs="宋体"/>
                <w:szCs w:val="21"/>
              </w:rPr>
              <w:t xml:space="preserve"> Windows、macOS 两种主流电脑操作系统，适配日常办公设备使用，操作门槛低、部署便捷，适配各类单位现有办公环境，无需额外采购专用操作终端。整套系统划分多个独立功能模块，包含资源总览仪表盘、服务器</w:t>
            </w:r>
            <w:r>
              <w:rPr>
                <w:rFonts w:hint="eastAsia" w:ascii="宋体" w:hAnsi="宋体" w:eastAsia="宋体" w:cs="宋体"/>
                <w:szCs w:val="21"/>
              </w:rPr>
              <w:t>/工作站</w:t>
            </w:r>
            <w:r>
              <w:rPr>
                <w:rFonts w:ascii="宋体" w:hAnsi="宋体" w:eastAsia="宋体" w:cs="宋体"/>
                <w:szCs w:val="21"/>
              </w:rPr>
              <w:t>管理、容器管理、镜像管理、实时监控、磁盘管理、GPU 管理、资源申请审批、用户账号权限管理、系统操作日志、系统全局参数设置等板块，集群所有硬件、容器、用户、存储、显卡资源全部集中在同一平台管控，实现集群资源统一管控</w:t>
            </w:r>
            <w:r>
              <w:rPr>
                <w:rFonts w:hint="eastAsia" w:ascii="宋体" w:hAnsi="宋体" w:eastAsia="宋体" w:cs="宋体"/>
                <w:szCs w:val="21"/>
              </w:rPr>
              <w:t>、状态一目了然。</w:t>
            </w:r>
            <w:r>
              <w:rPr>
                <w:rFonts w:ascii="宋体" w:hAnsi="宋体" w:eastAsia="宋体" w:cs="宋体"/>
                <w:szCs w:val="21"/>
              </w:rPr>
              <w:t xml:space="preserve"> </w:t>
            </w:r>
          </w:p>
        </w:tc>
      </w:tr>
    </w:tbl>
    <w:p w14:paraId="30A3A2C6">
      <w:pPr>
        <w:spacing w:line="360" w:lineRule="auto"/>
        <w:jc w:val="left"/>
        <w:rPr>
          <w:rFonts w:ascii="宋体" w:hAnsi="宋体"/>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0"/>
    <w:family w:val="auto"/>
    <w:pitch w:val="default"/>
    <w:sig w:usb0="00000000" w:usb1="00000000" w:usb2="00000000" w:usb3="00000000" w:csb0="80000000" w:csb1="00000000"/>
  </w:font>
  <w:font w:name="Segoe UI Emoji">
    <w:panose1 w:val="020B0502040204020203"/>
    <w:charset w:val="00"/>
    <w:family w:val="auto"/>
    <w:pitch w:val="default"/>
    <w:sig w:usb0="00000001" w:usb1="02000000" w:usb2="08000000" w:usb3="00000000" w:csb0="00000001"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YyNDZmMzZmMGFiZjg1MjJlY2ZmMDZmMWViMjVlZjUifQ=="/>
  </w:docVars>
  <w:rsids>
    <w:rsidRoot w:val="00EC4B27"/>
    <w:rsid w:val="00033279"/>
    <w:rsid w:val="00040B36"/>
    <w:rsid w:val="00067341"/>
    <w:rsid w:val="0008559A"/>
    <w:rsid w:val="00090197"/>
    <w:rsid w:val="000947C9"/>
    <w:rsid w:val="000A0D3E"/>
    <w:rsid w:val="000A1742"/>
    <w:rsid w:val="000A50A8"/>
    <w:rsid w:val="000C5E0C"/>
    <w:rsid w:val="000C5E4D"/>
    <w:rsid w:val="000D7046"/>
    <w:rsid w:val="000E2963"/>
    <w:rsid w:val="000E75D5"/>
    <w:rsid w:val="000F24E9"/>
    <w:rsid w:val="0016055B"/>
    <w:rsid w:val="00166749"/>
    <w:rsid w:val="00174C07"/>
    <w:rsid w:val="00181151"/>
    <w:rsid w:val="00192BE5"/>
    <w:rsid w:val="00194D8C"/>
    <w:rsid w:val="001B6657"/>
    <w:rsid w:val="001C2855"/>
    <w:rsid w:val="001E6535"/>
    <w:rsid w:val="002316FA"/>
    <w:rsid w:val="00232B68"/>
    <w:rsid w:val="00241F29"/>
    <w:rsid w:val="002639DE"/>
    <w:rsid w:val="00277C9C"/>
    <w:rsid w:val="002847A0"/>
    <w:rsid w:val="002A035C"/>
    <w:rsid w:val="002A182F"/>
    <w:rsid w:val="002A51F2"/>
    <w:rsid w:val="002C792F"/>
    <w:rsid w:val="002D1463"/>
    <w:rsid w:val="002D1E61"/>
    <w:rsid w:val="002F3530"/>
    <w:rsid w:val="00300D4B"/>
    <w:rsid w:val="00334EDE"/>
    <w:rsid w:val="003366D9"/>
    <w:rsid w:val="00340432"/>
    <w:rsid w:val="003755F4"/>
    <w:rsid w:val="00392468"/>
    <w:rsid w:val="00396837"/>
    <w:rsid w:val="003A793F"/>
    <w:rsid w:val="003B5E0A"/>
    <w:rsid w:val="003B7894"/>
    <w:rsid w:val="003C09D4"/>
    <w:rsid w:val="003E3352"/>
    <w:rsid w:val="003F6FC7"/>
    <w:rsid w:val="00404638"/>
    <w:rsid w:val="00422B48"/>
    <w:rsid w:val="004550D5"/>
    <w:rsid w:val="00471649"/>
    <w:rsid w:val="00473CE9"/>
    <w:rsid w:val="0048389C"/>
    <w:rsid w:val="00486C8D"/>
    <w:rsid w:val="004A3B0D"/>
    <w:rsid w:val="004D737A"/>
    <w:rsid w:val="004E6F97"/>
    <w:rsid w:val="0050538A"/>
    <w:rsid w:val="00511D9A"/>
    <w:rsid w:val="00517D39"/>
    <w:rsid w:val="00531B4A"/>
    <w:rsid w:val="00532622"/>
    <w:rsid w:val="00534EAA"/>
    <w:rsid w:val="005418F9"/>
    <w:rsid w:val="00564F41"/>
    <w:rsid w:val="0057073F"/>
    <w:rsid w:val="00585F2E"/>
    <w:rsid w:val="005A0A29"/>
    <w:rsid w:val="005A73E6"/>
    <w:rsid w:val="005C77BF"/>
    <w:rsid w:val="005E67D4"/>
    <w:rsid w:val="00610268"/>
    <w:rsid w:val="0065536D"/>
    <w:rsid w:val="006945F4"/>
    <w:rsid w:val="006B163F"/>
    <w:rsid w:val="006B43E7"/>
    <w:rsid w:val="006C7E25"/>
    <w:rsid w:val="007006E2"/>
    <w:rsid w:val="00711775"/>
    <w:rsid w:val="00743FBE"/>
    <w:rsid w:val="007513FE"/>
    <w:rsid w:val="007526F5"/>
    <w:rsid w:val="00782FC2"/>
    <w:rsid w:val="00795B23"/>
    <w:rsid w:val="007A37B4"/>
    <w:rsid w:val="007A7713"/>
    <w:rsid w:val="007D0524"/>
    <w:rsid w:val="007D0997"/>
    <w:rsid w:val="007D6115"/>
    <w:rsid w:val="007F2E5F"/>
    <w:rsid w:val="0080596E"/>
    <w:rsid w:val="00834754"/>
    <w:rsid w:val="00836089"/>
    <w:rsid w:val="008404AE"/>
    <w:rsid w:val="00841E55"/>
    <w:rsid w:val="00843B50"/>
    <w:rsid w:val="008464B2"/>
    <w:rsid w:val="008635BA"/>
    <w:rsid w:val="00870F40"/>
    <w:rsid w:val="00881E74"/>
    <w:rsid w:val="00885B4A"/>
    <w:rsid w:val="008B5505"/>
    <w:rsid w:val="008F11D4"/>
    <w:rsid w:val="009130CB"/>
    <w:rsid w:val="00926617"/>
    <w:rsid w:val="009453AE"/>
    <w:rsid w:val="00952A1C"/>
    <w:rsid w:val="00955C7D"/>
    <w:rsid w:val="009615A3"/>
    <w:rsid w:val="00971894"/>
    <w:rsid w:val="00991D47"/>
    <w:rsid w:val="009C0872"/>
    <w:rsid w:val="009D6CBD"/>
    <w:rsid w:val="00A021FD"/>
    <w:rsid w:val="00A04CF5"/>
    <w:rsid w:val="00A20AA6"/>
    <w:rsid w:val="00A2499B"/>
    <w:rsid w:val="00A269FF"/>
    <w:rsid w:val="00A309DE"/>
    <w:rsid w:val="00A521A6"/>
    <w:rsid w:val="00A60303"/>
    <w:rsid w:val="00A76012"/>
    <w:rsid w:val="00AB35E6"/>
    <w:rsid w:val="00AD6047"/>
    <w:rsid w:val="00AD786B"/>
    <w:rsid w:val="00AE5FC7"/>
    <w:rsid w:val="00AF7205"/>
    <w:rsid w:val="00AF7D63"/>
    <w:rsid w:val="00B10D88"/>
    <w:rsid w:val="00B130C0"/>
    <w:rsid w:val="00B51041"/>
    <w:rsid w:val="00B51849"/>
    <w:rsid w:val="00B754A1"/>
    <w:rsid w:val="00B75C9E"/>
    <w:rsid w:val="00B80FA5"/>
    <w:rsid w:val="00B866C1"/>
    <w:rsid w:val="00BA5524"/>
    <w:rsid w:val="00BB3676"/>
    <w:rsid w:val="00BC203C"/>
    <w:rsid w:val="00BC4B38"/>
    <w:rsid w:val="00BF3432"/>
    <w:rsid w:val="00BF5042"/>
    <w:rsid w:val="00C0372A"/>
    <w:rsid w:val="00C04D8B"/>
    <w:rsid w:val="00C126E4"/>
    <w:rsid w:val="00C2090A"/>
    <w:rsid w:val="00C2775C"/>
    <w:rsid w:val="00C35167"/>
    <w:rsid w:val="00C35297"/>
    <w:rsid w:val="00C36FF3"/>
    <w:rsid w:val="00CA196E"/>
    <w:rsid w:val="00CA5EE2"/>
    <w:rsid w:val="00CB7CCF"/>
    <w:rsid w:val="00CD5077"/>
    <w:rsid w:val="00CD7C30"/>
    <w:rsid w:val="00CE2427"/>
    <w:rsid w:val="00CE4922"/>
    <w:rsid w:val="00CE6924"/>
    <w:rsid w:val="00D10E62"/>
    <w:rsid w:val="00D143E6"/>
    <w:rsid w:val="00D15D22"/>
    <w:rsid w:val="00D24FA4"/>
    <w:rsid w:val="00D34AE8"/>
    <w:rsid w:val="00D51DB9"/>
    <w:rsid w:val="00D653A3"/>
    <w:rsid w:val="00D87A85"/>
    <w:rsid w:val="00DA1E0A"/>
    <w:rsid w:val="00DA5C1C"/>
    <w:rsid w:val="00DC1743"/>
    <w:rsid w:val="00DC39A5"/>
    <w:rsid w:val="00DF45E2"/>
    <w:rsid w:val="00E046FE"/>
    <w:rsid w:val="00E1711A"/>
    <w:rsid w:val="00E42E18"/>
    <w:rsid w:val="00E5035D"/>
    <w:rsid w:val="00E86E12"/>
    <w:rsid w:val="00EB1E94"/>
    <w:rsid w:val="00EC3FE7"/>
    <w:rsid w:val="00EC4B27"/>
    <w:rsid w:val="00ED6D6C"/>
    <w:rsid w:val="00EF1347"/>
    <w:rsid w:val="00EF76BB"/>
    <w:rsid w:val="00F0084A"/>
    <w:rsid w:val="00F10C78"/>
    <w:rsid w:val="00F16632"/>
    <w:rsid w:val="00F33A88"/>
    <w:rsid w:val="00F51A94"/>
    <w:rsid w:val="00F53A90"/>
    <w:rsid w:val="00FB0830"/>
    <w:rsid w:val="00FC7D6A"/>
    <w:rsid w:val="02BB3E8D"/>
    <w:rsid w:val="03A013D6"/>
    <w:rsid w:val="0440541D"/>
    <w:rsid w:val="056F72B2"/>
    <w:rsid w:val="08170674"/>
    <w:rsid w:val="09F77876"/>
    <w:rsid w:val="0DB066B9"/>
    <w:rsid w:val="0EC17841"/>
    <w:rsid w:val="0F697CEF"/>
    <w:rsid w:val="145A737F"/>
    <w:rsid w:val="145D1EA6"/>
    <w:rsid w:val="15633E35"/>
    <w:rsid w:val="1ABF618E"/>
    <w:rsid w:val="1C1F5136"/>
    <w:rsid w:val="1F074B8C"/>
    <w:rsid w:val="251D242F"/>
    <w:rsid w:val="29947833"/>
    <w:rsid w:val="2A870AD2"/>
    <w:rsid w:val="2E3A7276"/>
    <w:rsid w:val="3049217F"/>
    <w:rsid w:val="324D3728"/>
    <w:rsid w:val="34533777"/>
    <w:rsid w:val="379D68EA"/>
    <w:rsid w:val="3843054F"/>
    <w:rsid w:val="39F21BBB"/>
    <w:rsid w:val="3ADA3C08"/>
    <w:rsid w:val="3C236125"/>
    <w:rsid w:val="3E974BA8"/>
    <w:rsid w:val="47C06F1E"/>
    <w:rsid w:val="4FD55530"/>
    <w:rsid w:val="54B76092"/>
    <w:rsid w:val="562763BA"/>
    <w:rsid w:val="56B91708"/>
    <w:rsid w:val="589A7317"/>
    <w:rsid w:val="59B937CD"/>
    <w:rsid w:val="5C656C4B"/>
    <w:rsid w:val="60F577E0"/>
    <w:rsid w:val="67013218"/>
    <w:rsid w:val="6B0625EA"/>
    <w:rsid w:val="6C0E79A8"/>
    <w:rsid w:val="723B526F"/>
    <w:rsid w:val="75CF63FA"/>
    <w:rsid w:val="780A196C"/>
    <w:rsid w:val="7E484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7"/>
    <w:unhideWhenUsed/>
    <w:qFormat/>
    <w:uiPriority w:val="99"/>
    <w:pPr>
      <w:jc w:val="left"/>
    </w:p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paragraph" w:styleId="7">
    <w:name w:val="annotation subject"/>
    <w:basedOn w:val="3"/>
    <w:next w:val="3"/>
    <w:link w:val="18"/>
    <w:semiHidden/>
    <w:unhideWhenUsed/>
    <w:qFormat/>
    <w:uiPriority w:val="99"/>
    <w:rPr>
      <w:b/>
      <w:bCs/>
    </w:rPr>
  </w:style>
  <w:style w:type="table" w:styleId="9">
    <w:name w:val="Table Grid"/>
    <w:basedOn w:val="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bCs/>
    </w:rPr>
  </w:style>
  <w:style w:type="character" w:styleId="12">
    <w:name w:val="annotation reference"/>
    <w:basedOn w:val="10"/>
    <w:semiHidden/>
    <w:unhideWhenUsed/>
    <w:qFormat/>
    <w:uiPriority w:val="99"/>
    <w:rPr>
      <w:sz w:val="21"/>
      <w:szCs w:val="21"/>
    </w:rPr>
  </w:style>
  <w:style w:type="paragraph" w:styleId="13">
    <w:name w:val="List Paragraph"/>
    <w:basedOn w:val="1"/>
    <w:autoRedefine/>
    <w:qFormat/>
    <w:uiPriority w:val="34"/>
    <w:pPr>
      <w:ind w:firstLine="420" w:firstLineChars="200"/>
    </w:pPr>
  </w:style>
  <w:style w:type="character" w:customStyle="1" w:styleId="14">
    <w:name w:val="页眉 字符"/>
    <w:basedOn w:val="10"/>
    <w:link w:val="5"/>
    <w:autoRedefine/>
    <w:qFormat/>
    <w:uiPriority w:val="99"/>
    <w:rPr>
      <w:sz w:val="18"/>
      <w:szCs w:val="18"/>
    </w:rPr>
  </w:style>
  <w:style w:type="character" w:customStyle="1" w:styleId="15">
    <w:name w:val="页脚 字符"/>
    <w:basedOn w:val="10"/>
    <w:link w:val="4"/>
    <w:autoRedefine/>
    <w:qFormat/>
    <w:uiPriority w:val="99"/>
    <w:rPr>
      <w:sz w:val="18"/>
      <w:szCs w:val="18"/>
    </w:rPr>
  </w:style>
  <w:style w:type="paragraph" w:customStyle="1" w:styleId="16">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7">
    <w:name w:val="批注文字 字符"/>
    <w:basedOn w:val="10"/>
    <w:link w:val="3"/>
    <w:qFormat/>
    <w:uiPriority w:val="99"/>
    <w:rPr>
      <w:rFonts w:asciiTheme="minorHAnsi" w:hAnsiTheme="minorHAnsi" w:eastAsiaTheme="minorEastAsia" w:cstheme="minorBidi"/>
      <w:kern w:val="2"/>
      <w:sz w:val="21"/>
      <w:szCs w:val="22"/>
    </w:rPr>
  </w:style>
  <w:style w:type="character" w:customStyle="1" w:styleId="18">
    <w:name w:val="批注主题 字符"/>
    <w:basedOn w:val="17"/>
    <w:link w:val="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 Inc.</Company>
  <Pages>4</Pages>
  <Words>1821</Words>
  <Characters>2043</Characters>
  <Lines>15</Lines>
  <Paragraphs>4</Paragraphs>
  <TotalTime>12</TotalTime>
  <ScaleCrop>false</ScaleCrop>
  <LinksUpToDate>false</LinksUpToDate>
  <CharactersWithSpaces>2103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2025-10-13T06:42:00Z</dcterms:created>
  <dc:creator>smbu</dc:creator>
  <cp:lastModifiedBy>高大圆儿</cp:lastModifiedBy>
  <dcterms:modified xsi:type="dcterms:W3CDTF">2026-10-13T03:06:30Z</dcterms:modified>
  <cp:revision>173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177F9D817AB24FC1AE4D5E0252165E0C_13</vt:lpwstr>
  </property>
  <property fmtid="{D5CDD505-2E9C-101B-9397-08002B2CF9AE}" pid="4" name="KSOTemplateDocerSaveRecord">
    <vt:lpwstr>eyJoZGlkIjoiYmQ2MDcyNWMxZGY3Y2RkNTQwY2EzZDdiZDRlZjZkODUiLCJ1c2VySWQiOiI0MTA5NTcxNjcifQ==</vt:lpwstr>
  </property>
</Properties>
</file>