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5FB1">
      <w:pPr>
        <w:jc w:val="center"/>
        <w:rPr>
          <w:b/>
          <w:sz w:val="32"/>
          <w:szCs w:val="32"/>
        </w:rPr>
      </w:pPr>
      <w:r>
        <w:rPr>
          <w:rFonts w:hint="eastAsia"/>
          <w:b/>
          <w:sz w:val="32"/>
          <w:szCs w:val="32"/>
        </w:rPr>
        <w:t>高性能图形工作站采购</w:t>
      </w:r>
    </w:p>
    <w:p w14:paraId="1367EF08">
      <w:pPr>
        <w:jc w:val="center"/>
        <w:rPr>
          <w:b/>
          <w:sz w:val="32"/>
          <w:szCs w:val="32"/>
        </w:rPr>
      </w:pPr>
      <w:r>
        <w:rPr>
          <w:rFonts w:hint="eastAsia"/>
          <w:b/>
          <w:sz w:val="32"/>
          <w:szCs w:val="32"/>
        </w:rPr>
        <w:t>需求文件</w:t>
      </w:r>
    </w:p>
    <w:p w14:paraId="4B733095">
      <w:pPr>
        <w:jc w:val="center"/>
        <w:rPr>
          <w:b/>
          <w:sz w:val="32"/>
          <w:szCs w:val="32"/>
        </w:rPr>
      </w:pPr>
    </w:p>
    <w:p w14:paraId="3B791D76">
      <w:pPr>
        <w:rPr>
          <w:rFonts w:ascii="仿宋" w:hAnsi="仿宋" w:eastAsia="仿宋"/>
          <w:sz w:val="28"/>
          <w:szCs w:val="28"/>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为了满足科研及教学需求，现需要采购</w:t>
      </w:r>
      <w:r>
        <w:rPr>
          <w:rFonts w:ascii="仿宋" w:hAnsi="仿宋" w:eastAsia="仿宋"/>
          <w:sz w:val="28"/>
          <w:szCs w:val="28"/>
        </w:rPr>
        <w:t>1</w:t>
      </w:r>
      <w:r>
        <w:rPr>
          <w:rFonts w:hint="eastAsia" w:ascii="仿宋" w:hAnsi="仿宋" w:eastAsia="仿宋"/>
          <w:sz w:val="28"/>
          <w:szCs w:val="28"/>
        </w:rPr>
        <w:t>台高性能图形工作站，预算总价为</w:t>
      </w:r>
      <w:r>
        <w:rPr>
          <w:rFonts w:ascii="仿宋" w:hAnsi="仿宋" w:eastAsia="仿宋"/>
          <w:sz w:val="28"/>
          <w:szCs w:val="28"/>
        </w:rPr>
        <w:t>80000</w:t>
      </w:r>
      <w:r>
        <w:rPr>
          <w:rFonts w:hint="eastAsia" w:ascii="仿宋" w:hAnsi="仿宋" w:eastAsia="仿宋"/>
          <w:sz w:val="28"/>
          <w:szCs w:val="28"/>
        </w:rPr>
        <w:t>元，以下为设备需求文件：</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4111"/>
        <w:gridCol w:w="992"/>
        <w:gridCol w:w="567"/>
        <w:gridCol w:w="567"/>
        <w:gridCol w:w="992"/>
      </w:tblGrid>
      <w:tr w14:paraId="3AB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10" w:type="dxa"/>
            <w:vAlign w:val="center"/>
          </w:tcPr>
          <w:p w14:paraId="0C30222E">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134" w:type="dxa"/>
            <w:vAlign w:val="center"/>
          </w:tcPr>
          <w:p w14:paraId="2D9BF03D">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525C307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4111" w:type="dxa"/>
            <w:vAlign w:val="center"/>
          </w:tcPr>
          <w:p w14:paraId="35BC6368">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992" w:type="dxa"/>
            <w:vAlign w:val="center"/>
          </w:tcPr>
          <w:p w14:paraId="173E514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4CC0784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567" w:type="dxa"/>
            <w:vAlign w:val="center"/>
          </w:tcPr>
          <w:p w14:paraId="0ED39FE1">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567" w:type="dxa"/>
            <w:vAlign w:val="center"/>
          </w:tcPr>
          <w:p w14:paraId="67A92AE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992" w:type="dxa"/>
            <w:vAlign w:val="center"/>
          </w:tcPr>
          <w:p w14:paraId="5FE04B57">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5343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22CD51C1">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134" w:type="dxa"/>
            <w:vAlign w:val="center"/>
          </w:tcPr>
          <w:p w14:paraId="39C6265D">
            <w:pPr>
              <w:jc w:val="center"/>
              <w:rPr>
                <w:rFonts w:ascii="Times New Roman" w:hAnsi="Times New Roman" w:eastAsia="宋体" w:cs="Times New Roman"/>
                <w:sz w:val="20"/>
                <w:szCs w:val="24"/>
              </w:rPr>
            </w:pPr>
            <w:bookmarkStart w:id="1" w:name="_GoBack"/>
            <w:r>
              <w:rPr>
                <w:rFonts w:hint="eastAsia" w:ascii="Times New Roman" w:hAnsi="Times New Roman" w:eastAsia="宋体" w:cs="Times New Roman"/>
                <w:sz w:val="20"/>
                <w:szCs w:val="24"/>
              </w:rPr>
              <w:t>宽地</w:t>
            </w:r>
            <w:r>
              <w:rPr>
                <w:rFonts w:ascii="Times New Roman" w:hAnsi="Times New Roman" w:eastAsia="宋体" w:cs="Times New Roman"/>
                <w:sz w:val="20"/>
                <w:szCs w:val="24"/>
              </w:rPr>
              <w:t xml:space="preserve"> KD 7420-XU</w:t>
            </w:r>
            <w:bookmarkEnd w:id="1"/>
            <w:r>
              <w:rPr>
                <w:rFonts w:hint="eastAsia" w:ascii="Times New Roman" w:hAnsi="Times New Roman" w:eastAsia="宋体" w:cs="Times New Roman"/>
                <w:sz w:val="20"/>
                <w:szCs w:val="24"/>
              </w:rPr>
              <w:t>高性能图形工作站</w:t>
            </w:r>
          </w:p>
        </w:tc>
        <w:tc>
          <w:tcPr>
            <w:tcW w:w="4111" w:type="dxa"/>
            <w:vAlign w:val="center"/>
          </w:tcPr>
          <w:p w14:paraId="797E0C90">
            <w:pPr>
              <w:rPr>
                <w:rFonts w:ascii="Times New Roman" w:hAnsi="Times New Roman" w:eastAsia="宋体" w:cs="Times New Roman"/>
                <w:sz w:val="20"/>
                <w:szCs w:val="24"/>
              </w:rPr>
            </w:pPr>
            <w:r>
              <w:rPr>
                <w:rFonts w:ascii="Times New Roman" w:hAnsi="Times New Roman" w:eastAsia="宋体" w:cs="Times New Roman"/>
                <w:sz w:val="20"/>
                <w:szCs w:val="24"/>
              </w:rPr>
              <w:t>CPU</w:t>
            </w:r>
            <w:r>
              <w:rPr>
                <w:rFonts w:hint="eastAsia" w:ascii="Times New Roman" w:hAnsi="Times New Roman" w:eastAsia="宋体" w:cs="Times New Roman"/>
                <w:sz w:val="20"/>
                <w:szCs w:val="24"/>
              </w:rPr>
              <w:t>要求不低于核心</w:t>
            </w:r>
            <w:r>
              <w:rPr>
                <w:rFonts w:ascii="Times New Roman" w:hAnsi="Times New Roman" w:eastAsia="宋体" w:cs="Times New Roman"/>
                <w:sz w:val="20"/>
                <w:szCs w:val="24"/>
              </w:rPr>
              <w:t>/线程: 16核心，32线程</w:t>
            </w:r>
          </w:p>
          <w:p w14:paraId="688F3871">
            <w:pPr>
              <w:rPr>
                <w:rFonts w:hint="eastAsia" w:ascii="Times New Roman" w:hAnsi="Times New Roman" w:eastAsia="宋体" w:cs="Times New Roman"/>
                <w:sz w:val="20"/>
                <w:szCs w:val="24"/>
              </w:rPr>
            </w:pPr>
            <w:r>
              <w:rPr>
                <w:rFonts w:hint="eastAsia" w:ascii="Times New Roman" w:hAnsi="Times New Roman" w:eastAsia="宋体" w:cs="Times New Roman"/>
                <w:sz w:val="20"/>
                <w:szCs w:val="24"/>
              </w:rPr>
              <w:t>基础频率</w:t>
            </w:r>
            <w:r>
              <w:rPr>
                <w:rFonts w:ascii="Times New Roman" w:hAnsi="Times New Roman" w:eastAsia="宋体" w:cs="Times New Roman"/>
                <w:sz w:val="20"/>
                <w:szCs w:val="24"/>
              </w:rPr>
              <w:t>: 4.3 GHz</w:t>
            </w:r>
            <w:r>
              <w:rPr>
                <w:rFonts w:hint="eastAsia" w:ascii="Times New Roman" w:hAnsi="Times New Roman" w:eastAsia="宋体" w:cs="Times New Roman"/>
                <w:sz w:val="20"/>
                <w:szCs w:val="24"/>
              </w:rPr>
              <w:t>、最大睿频</w:t>
            </w:r>
            <w:r>
              <w:rPr>
                <w:rFonts w:ascii="Times New Roman" w:hAnsi="Times New Roman" w:eastAsia="宋体" w:cs="Times New Roman"/>
                <w:sz w:val="20"/>
                <w:szCs w:val="24"/>
              </w:rPr>
              <w:t>: 5.7 GHz</w:t>
            </w:r>
          </w:p>
          <w:p w14:paraId="671C4FD7">
            <w:pPr>
              <w:rPr>
                <w:rFonts w:ascii="Times New Roman" w:hAnsi="Times New Roman" w:eastAsia="宋体" w:cs="Times New Roman"/>
                <w:sz w:val="20"/>
                <w:szCs w:val="24"/>
              </w:rPr>
            </w:pPr>
            <w:r>
              <w:rPr>
                <w:rFonts w:hint="eastAsia" w:ascii="Times New Roman" w:hAnsi="Times New Roman" w:eastAsia="宋体" w:cs="Times New Roman"/>
                <w:sz w:val="20"/>
                <w:szCs w:val="24"/>
              </w:rPr>
              <w:t>散热方式：</w:t>
            </w:r>
            <w:r>
              <w:rPr>
                <w:rFonts w:ascii="Times New Roman" w:hAnsi="Times New Roman" w:eastAsia="宋体" w:cs="Times New Roman"/>
                <w:sz w:val="20"/>
                <w:szCs w:val="24"/>
              </w:rPr>
              <w:t xml:space="preserve">360一体式水冷散热器   </w:t>
            </w:r>
          </w:p>
          <w:p w14:paraId="70DEBD82">
            <w:pPr>
              <w:rPr>
                <w:rFonts w:ascii="Times New Roman" w:hAnsi="Times New Roman" w:eastAsia="宋体" w:cs="Times New Roman"/>
                <w:sz w:val="20"/>
                <w:szCs w:val="24"/>
              </w:rPr>
            </w:pPr>
            <w:r>
              <w:rPr>
                <w:rFonts w:hint="eastAsia" w:ascii="Times New Roman" w:hAnsi="Times New Roman" w:eastAsia="宋体" w:cs="Times New Roman"/>
                <w:sz w:val="20"/>
                <w:szCs w:val="24"/>
              </w:rPr>
              <w:t>主板要求不低于</w:t>
            </w:r>
            <w:r>
              <w:rPr>
                <w:rFonts w:ascii="Times New Roman" w:hAnsi="Times New Roman" w:eastAsia="宋体" w:cs="Times New Roman"/>
                <w:sz w:val="20"/>
                <w:szCs w:val="24"/>
              </w:rPr>
              <w:t>ASUS TUF GAMING X870E-PLUS WIFI7 主板，释放 AMD Ryzen™ 潜力。 16+2+1相供电，高效散热，支持DDR5和PCIe 5.0。 AI超频、USB4® 40Gbps、WiFi 7</w:t>
            </w:r>
          </w:p>
          <w:p w14:paraId="7CEA4CCD">
            <w:pPr>
              <w:rPr>
                <w:rFonts w:ascii="Times New Roman" w:hAnsi="Times New Roman" w:eastAsia="宋体" w:cs="Times New Roman"/>
                <w:sz w:val="20"/>
                <w:szCs w:val="24"/>
              </w:rPr>
            </w:pPr>
            <w:r>
              <w:rPr>
                <w:rFonts w:hint="eastAsia" w:ascii="Times New Roman" w:hAnsi="Times New Roman" w:eastAsia="宋体" w:cs="Times New Roman"/>
                <w:sz w:val="20"/>
                <w:szCs w:val="24"/>
              </w:rPr>
              <w:t>内存：</w:t>
            </w:r>
            <w:r>
              <w:rPr>
                <w:rFonts w:ascii="Times New Roman" w:hAnsi="Times New Roman" w:eastAsia="宋体" w:cs="Times New Roman"/>
                <w:sz w:val="20"/>
                <w:szCs w:val="24"/>
              </w:rPr>
              <w:t xml:space="preserve"> DDR5 32G 5200*4  </w:t>
            </w:r>
          </w:p>
          <w:p w14:paraId="315E2EC3">
            <w:pPr>
              <w:rPr>
                <w:rFonts w:ascii="Times New Roman" w:hAnsi="Times New Roman" w:eastAsia="宋体" w:cs="Times New Roman"/>
                <w:sz w:val="20"/>
                <w:szCs w:val="24"/>
              </w:rPr>
            </w:pPr>
            <w:r>
              <w:rPr>
                <w:rFonts w:hint="eastAsia" w:ascii="Times New Roman" w:hAnsi="Times New Roman" w:eastAsia="宋体" w:cs="Times New Roman"/>
                <w:sz w:val="20"/>
                <w:szCs w:val="24"/>
              </w:rPr>
              <w:t>固态：致态</w:t>
            </w:r>
            <w:r>
              <w:rPr>
                <w:rFonts w:ascii="Times New Roman" w:hAnsi="Times New Roman" w:eastAsia="宋体" w:cs="Times New Roman"/>
                <w:sz w:val="20"/>
                <w:szCs w:val="24"/>
              </w:rPr>
              <w:t xml:space="preserve"> 7100 4TB  </w:t>
            </w:r>
          </w:p>
          <w:p w14:paraId="761FBD90">
            <w:pPr>
              <w:rPr>
                <w:rFonts w:ascii="Times New Roman" w:hAnsi="Times New Roman" w:eastAsia="宋体" w:cs="Times New Roman"/>
                <w:sz w:val="20"/>
                <w:szCs w:val="24"/>
              </w:rPr>
            </w:pPr>
            <w:r>
              <w:rPr>
                <w:rFonts w:hint="eastAsia" w:ascii="Times New Roman" w:hAnsi="Times New Roman" w:eastAsia="宋体" w:cs="Times New Roman"/>
                <w:sz w:val="20"/>
                <w:szCs w:val="24"/>
              </w:rPr>
              <w:t>机械硬盘：</w:t>
            </w:r>
            <w:r>
              <w:rPr>
                <w:rFonts w:ascii="Times New Roman" w:hAnsi="Times New Roman" w:eastAsia="宋体" w:cs="Times New Roman"/>
                <w:sz w:val="20"/>
                <w:szCs w:val="24"/>
              </w:rPr>
              <w:t xml:space="preserve">SATA 8TB 企业级  </w:t>
            </w:r>
          </w:p>
          <w:p w14:paraId="3AB840F6">
            <w:pPr>
              <w:rPr>
                <w:rFonts w:ascii="Times New Roman" w:hAnsi="Times New Roman" w:eastAsia="宋体" w:cs="Times New Roman"/>
                <w:sz w:val="20"/>
                <w:szCs w:val="24"/>
              </w:rPr>
            </w:pPr>
            <w:r>
              <w:rPr>
                <w:rFonts w:hint="eastAsia" w:ascii="Times New Roman" w:hAnsi="Times New Roman" w:eastAsia="宋体" w:cs="Times New Roman"/>
                <w:sz w:val="20"/>
                <w:szCs w:val="24"/>
              </w:rPr>
              <w:t>显卡：</w:t>
            </w:r>
            <w:r>
              <w:rPr>
                <w:rFonts w:ascii="Times New Roman" w:hAnsi="Times New Roman" w:eastAsia="宋体" w:cs="Times New Roman"/>
                <w:sz w:val="20"/>
                <w:szCs w:val="24"/>
              </w:rPr>
              <w:t xml:space="preserve">RTX5090 32G </w:t>
            </w:r>
          </w:p>
          <w:p w14:paraId="710AE2CA">
            <w:pPr>
              <w:rPr>
                <w:rFonts w:ascii="Times New Roman" w:hAnsi="Times New Roman" w:eastAsia="宋体" w:cs="Times New Roman"/>
                <w:sz w:val="20"/>
                <w:szCs w:val="24"/>
              </w:rPr>
            </w:pPr>
            <w:r>
              <w:rPr>
                <w:rFonts w:hint="eastAsia" w:ascii="Times New Roman" w:hAnsi="Times New Roman" w:eastAsia="宋体" w:cs="Times New Roman"/>
                <w:sz w:val="20"/>
                <w:szCs w:val="24"/>
              </w:rPr>
              <w:t>塔式机箱</w:t>
            </w:r>
          </w:p>
          <w:p w14:paraId="02F5C03A">
            <w:pPr>
              <w:rPr>
                <w:rFonts w:ascii="Times New Roman" w:hAnsi="Times New Roman" w:eastAsia="宋体" w:cs="Times New Roman"/>
                <w:sz w:val="20"/>
                <w:szCs w:val="24"/>
              </w:rPr>
            </w:pPr>
            <w:r>
              <w:rPr>
                <w:rFonts w:hint="eastAsia" w:ascii="Times New Roman" w:hAnsi="Times New Roman" w:eastAsia="宋体" w:cs="Times New Roman"/>
                <w:sz w:val="20"/>
                <w:szCs w:val="24"/>
              </w:rPr>
              <w:t>电源</w:t>
            </w:r>
            <w:r>
              <w:rPr>
                <w:rFonts w:ascii="Times New Roman" w:hAnsi="Times New Roman" w:eastAsia="宋体" w:cs="Times New Roman"/>
                <w:sz w:val="20"/>
                <w:szCs w:val="24"/>
              </w:rPr>
              <w:t>1250W</w:t>
            </w:r>
          </w:p>
          <w:p w14:paraId="4FE0B201">
            <w:pPr>
              <w:rPr>
                <w:rFonts w:ascii="Times New Roman" w:hAnsi="Times New Roman" w:eastAsia="宋体" w:cs="Times New Roman"/>
                <w:sz w:val="20"/>
                <w:szCs w:val="24"/>
              </w:rPr>
            </w:pPr>
            <w:r>
              <w:rPr>
                <w:rFonts w:hint="eastAsia" w:ascii="Times New Roman" w:hAnsi="Times New Roman" w:eastAsia="宋体" w:cs="Times New Roman"/>
                <w:sz w:val="20"/>
                <w:szCs w:val="24"/>
              </w:rPr>
              <w:t>三年保修</w:t>
            </w:r>
          </w:p>
          <w:p w14:paraId="10D6D5AF">
            <w:pPr>
              <w:rPr>
                <w:rFonts w:ascii="Times New Roman" w:hAnsi="Times New Roman" w:eastAsia="宋体" w:cs="Times New Roman"/>
                <w:sz w:val="20"/>
                <w:szCs w:val="24"/>
              </w:rPr>
            </w:pPr>
            <w:r>
              <w:rPr>
                <w:rFonts w:hint="eastAsia" w:ascii="Times New Roman" w:hAnsi="Times New Roman" w:eastAsia="宋体" w:cs="Times New Roman"/>
                <w:sz w:val="20"/>
                <w:szCs w:val="24"/>
              </w:rPr>
              <w:t>含正版</w:t>
            </w:r>
            <w:r>
              <w:rPr>
                <w:rFonts w:ascii="Times New Roman" w:hAnsi="Times New Roman" w:eastAsia="宋体" w:cs="Times New Roman"/>
                <w:sz w:val="20"/>
                <w:szCs w:val="24"/>
              </w:rPr>
              <w:t xml:space="preserve">windows Server 2022 </w:t>
            </w:r>
            <w:r>
              <w:rPr>
                <w:rFonts w:hint="eastAsia" w:ascii="Times New Roman" w:hAnsi="Times New Roman" w:eastAsia="宋体" w:cs="Times New Roman"/>
                <w:sz w:val="20"/>
                <w:szCs w:val="24"/>
              </w:rPr>
              <w:t>标准版</w:t>
            </w:r>
          </w:p>
          <w:p w14:paraId="4DF5E0F4">
            <w:pPr>
              <w:rPr>
                <w:rFonts w:ascii="Times New Roman" w:hAnsi="Times New Roman" w:eastAsia="宋体" w:cs="Times New Roman"/>
                <w:sz w:val="20"/>
                <w:szCs w:val="24"/>
              </w:rPr>
            </w:pPr>
            <w:r>
              <w:rPr>
                <w:rFonts w:hint="eastAsia" w:ascii="Times New Roman" w:hAnsi="Times New Roman" w:eastAsia="宋体" w:cs="Times New Roman"/>
                <w:sz w:val="20"/>
                <w:szCs w:val="24"/>
              </w:rPr>
              <w:t>含</w:t>
            </w:r>
            <w:r>
              <w:rPr>
                <w:rFonts w:ascii="Times New Roman" w:hAnsi="Times New Roman" w:eastAsia="宋体" w:cs="Times New Roman"/>
                <w:sz w:val="20"/>
                <w:szCs w:val="24"/>
              </w:rPr>
              <w:t>Adobe全家桶adobe Creative Cloud 正版软件 一年期订阅版 PDF专业版</w:t>
            </w:r>
          </w:p>
          <w:p w14:paraId="260267E2">
            <w:pPr>
              <w:rPr>
                <w:rFonts w:ascii="Times New Roman" w:hAnsi="Times New Roman" w:eastAsia="宋体" w:cs="Times New Roman"/>
                <w:sz w:val="20"/>
                <w:szCs w:val="24"/>
              </w:rPr>
            </w:pPr>
            <w:r>
              <w:rPr>
                <w:rFonts w:hint="eastAsia" w:ascii="Times New Roman" w:hAnsi="Times New Roman" w:eastAsia="宋体" w:cs="Times New Roman"/>
                <w:sz w:val="20"/>
                <w:szCs w:val="24"/>
              </w:rPr>
              <w:t>1</w:t>
            </w:r>
            <w:r>
              <w:rPr>
                <w:rFonts w:ascii="Times New Roman" w:hAnsi="Times New Roman" w:eastAsia="宋体" w:cs="Times New Roman"/>
                <w:sz w:val="20"/>
                <w:szCs w:val="24"/>
              </w:rPr>
              <w:t>.</w:t>
            </w:r>
            <w:r>
              <w:rPr>
                <w:rFonts w:hint="eastAsia" w:ascii="Times New Roman" w:hAnsi="Times New Roman" w:eastAsia="宋体" w:cs="Times New Roman"/>
                <w:sz w:val="20"/>
                <w:szCs w:val="24"/>
              </w:rPr>
              <w:t>机器学习</w:t>
            </w:r>
            <w:r>
              <w:rPr>
                <w:rFonts w:ascii="Times New Roman" w:hAnsi="Times New Roman" w:eastAsia="宋体" w:cs="Times New Roman"/>
                <w:sz w:val="20"/>
                <w:szCs w:val="24"/>
              </w:rPr>
              <w:t>/深度学习/大模型框架支持：集成多种深度学习各种框架（如TensorFlow，pytorch等）用户模型开发、模型训练等；</w:t>
            </w:r>
          </w:p>
          <w:p w14:paraId="3CBCE3A9">
            <w:pPr>
              <w:rPr>
                <w:rFonts w:ascii="Times New Roman" w:hAnsi="Times New Roman" w:eastAsia="宋体" w:cs="Times New Roman"/>
                <w:sz w:val="20"/>
                <w:szCs w:val="24"/>
              </w:rPr>
            </w:pPr>
            <w:r>
              <w:rPr>
                <w:rFonts w:ascii="Times New Roman" w:hAnsi="Times New Roman" w:eastAsia="宋体" w:cs="Times New Roman"/>
                <w:sz w:val="20"/>
                <w:szCs w:val="24"/>
              </w:rPr>
              <w:t>2 开发容器管理：提供基于容器的开发容器创建、停止、复制等管理功能，用户可基于公共镜像、自定义镜像创建开发容器，进行机器学习/大模型的开发环境；可将开发容器保存为容器镜像，用于开发、训练、推理的运行环境；提供Jupyter Notebook、VSCode等主流开发环境；</w:t>
            </w:r>
          </w:p>
        </w:tc>
        <w:tc>
          <w:tcPr>
            <w:tcW w:w="992" w:type="dxa"/>
            <w:vAlign w:val="center"/>
          </w:tcPr>
          <w:p w14:paraId="35769300">
            <w:pPr>
              <w:jc w:val="center"/>
              <w:rPr>
                <w:rFonts w:ascii="Times New Roman" w:hAnsi="Times New Roman" w:eastAsia="宋体" w:cs="Times New Roman"/>
                <w:sz w:val="20"/>
                <w:szCs w:val="24"/>
              </w:rPr>
            </w:pPr>
            <w:r>
              <w:rPr>
                <w:rFonts w:ascii="Times New Roman" w:hAnsi="Times New Roman" w:eastAsia="宋体" w:cs="Times New Roman"/>
                <w:sz w:val="20"/>
                <w:szCs w:val="24"/>
              </w:rPr>
              <w:t>80000</w:t>
            </w:r>
          </w:p>
        </w:tc>
        <w:tc>
          <w:tcPr>
            <w:tcW w:w="567" w:type="dxa"/>
            <w:vAlign w:val="center"/>
          </w:tcPr>
          <w:p w14:paraId="20F24137">
            <w:pPr>
              <w:jc w:val="center"/>
              <w:rPr>
                <w:rFonts w:ascii="Times New Roman" w:hAnsi="Times New Roman" w:eastAsia="宋体" w:cs="Times New Roman"/>
                <w:sz w:val="20"/>
                <w:szCs w:val="24"/>
              </w:rPr>
            </w:pPr>
            <w:r>
              <w:rPr>
                <w:rFonts w:ascii="Times New Roman" w:hAnsi="Times New Roman" w:eastAsia="宋体" w:cs="Times New Roman"/>
                <w:sz w:val="20"/>
                <w:szCs w:val="24"/>
              </w:rPr>
              <w:t>1</w:t>
            </w:r>
          </w:p>
        </w:tc>
        <w:tc>
          <w:tcPr>
            <w:tcW w:w="567" w:type="dxa"/>
            <w:vAlign w:val="center"/>
          </w:tcPr>
          <w:p w14:paraId="08BCA922">
            <w:pPr>
              <w:jc w:val="center"/>
              <w:rPr>
                <w:rFonts w:ascii="Times New Roman" w:hAnsi="Times New Roman" w:eastAsia="宋体" w:cs="Times New Roman"/>
                <w:sz w:val="20"/>
                <w:szCs w:val="24"/>
              </w:rPr>
            </w:pPr>
            <w:r>
              <w:rPr>
                <w:rFonts w:ascii="Times New Roman" w:hAnsi="Times New Roman" w:eastAsia="宋体" w:cs="Times New Roman"/>
                <w:sz w:val="20"/>
                <w:szCs w:val="24"/>
              </w:rPr>
              <w:t>台</w:t>
            </w:r>
          </w:p>
        </w:tc>
        <w:tc>
          <w:tcPr>
            <w:tcW w:w="992" w:type="dxa"/>
            <w:vAlign w:val="center"/>
          </w:tcPr>
          <w:p w14:paraId="48B14223">
            <w:pPr>
              <w:jc w:val="center"/>
              <w:rPr>
                <w:rFonts w:ascii="Times New Roman" w:hAnsi="Times New Roman" w:eastAsia="宋体" w:cs="Times New Roman"/>
                <w:sz w:val="20"/>
                <w:szCs w:val="24"/>
              </w:rPr>
            </w:pPr>
            <w:r>
              <w:rPr>
                <w:rFonts w:ascii="Times New Roman" w:hAnsi="Times New Roman" w:eastAsia="宋体" w:cs="Times New Roman"/>
                <w:sz w:val="20"/>
                <w:szCs w:val="24"/>
              </w:rPr>
              <w:t>80000</w:t>
            </w:r>
          </w:p>
        </w:tc>
      </w:tr>
      <w:tr w14:paraId="234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081" w:type="dxa"/>
            <w:gridSpan w:val="6"/>
            <w:vAlign w:val="center"/>
          </w:tcPr>
          <w:p w14:paraId="4DB5F412">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992" w:type="dxa"/>
            <w:vAlign w:val="center"/>
          </w:tcPr>
          <w:p w14:paraId="58612E94">
            <w:pPr>
              <w:jc w:val="center"/>
              <w:rPr>
                <w:rFonts w:ascii="Times New Roman" w:hAnsi="Times New Roman" w:eastAsia="宋体" w:cs="Times New Roman"/>
                <w:sz w:val="24"/>
                <w:szCs w:val="24"/>
              </w:rPr>
            </w:pPr>
            <w:r>
              <w:rPr>
                <w:rFonts w:ascii="Times New Roman" w:hAnsi="Times New Roman" w:eastAsia="宋体" w:cs="Times New Roman"/>
                <w:sz w:val="24"/>
                <w:szCs w:val="24"/>
              </w:rPr>
              <w:t>80000</w:t>
            </w:r>
          </w:p>
        </w:tc>
      </w:tr>
    </w:tbl>
    <w:p w14:paraId="422B7A20"/>
    <w:p w14:paraId="77F1D191"/>
    <w:p w14:paraId="3E9596E3"/>
    <w:p w14:paraId="6BCB5EF2"/>
    <w:p w14:paraId="18F901F5">
      <w:pPr>
        <w:rPr>
          <w:highlight w:val="yellow"/>
        </w:rPr>
      </w:pPr>
    </w:p>
    <w:tbl>
      <w:tblPr>
        <w:tblStyle w:val="7"/>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14"/>
        <w:gridCol w:w="28"/>
        <w:gridCol w:w="6585"/>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127"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26"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514" w:type="dxa"/>
          </w:tcPr>
          <w:p w14:paraId="5E5C6B10">
            <w:pPr>
              <w:widowControl/>
              <w:spacing w:line="360" w:lineRule="auto"/>
              <w:rPr>
                <w:rFonts w:ascii="宋体" w:hAnsi="宋体" w:eastAsia="宋体" w:cs="宋体"/>
                <w:szCs w:val="21"/>
              </w:rPr>
            </w:pPr>
            <w:r>
              <w:rPr>
                <w:rFonts w:hint="eastAsia" w:ascii="宋体" w:hAnsi="宋体" w:eastAsia="宋体" w:cs="宋体"/>
                <w:szCs w:val="21"/>
              </w:rPr>
              <w:t xml:space="preserve"> </w:t>
            </w:r>
          </w:p>
          <w:p w14:paraId="5D9DD00A">
            <w:pPr>
              <w:widowControl/>
              <w:spacing w:line="360" w:lineRule="auto"/>
              <w:rPr>
                <w:rFonts w:ascii="宋体" w:hAnsi="宋体" w:eastAsia="宋体" w:cs="宋体"/>
                <w:szCs w:val="21"/>
              </w:rPr>
            </w:pPr>
          </w:p>
          <w:p w14:paraId="47117574">
            <w:pPr>
              <w:widowControl/>
              <w:spacing w:line="360" w:lineRule="auto"/>
              <w:rPr>
                <w:rFonts w:ascii="宋体" w:hAnsi="宋体" w:eastAsia="宋体" w:cs="宋体"/>
                <w:szCs w:val="21"/>
              </w:rPr>
            </w:pPr>
          </w:p>
          <w:p w14:paraId="6BB28A1D">
            <w:pPr>
              <w:widowControl/>
              <w:spacing w:line="360" w:lineRule="auto"/>
              <w:rPr>
                <w:rFonts w:ascii="宋体" w:hAnsi="宋体" w:eastAsia="宋体" w:cs="宋体"/>
                <w:szCs w:val="21"/>
              </w:rPr>
            </w:pPr>
          </w:p>
          <w:p w14:paraId="56A80CA6">
            <w:pPr>
              <w:widowControl/>
              <w:spacing w:line="360" w:lineRule="auto"/>
              <w:rPr>
                <w:rFonts w:ascii="宋体" w:hAnsi="宋体" w:eastAsia="宋体" w:cs="宋体"/>
                <w:szCs w:val="21"/>
              </w:rPr>
            </w:pPr>
          </w:p>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10CEEE28">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所有配置必须是原厂出厂,保证完整包装不开封，出厂时注明采购单位名称</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3C25F767">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如货物安装或配置了软件的，供应商保证相关软件均为正版软件。</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w:t>
            </w:r>
            <w:r>
              <w:rPr>
                <w:rFonts w:hint="eastAsia" w:ascii="宋体" w:hAnsi="宋体" w:eastAsia="宋体" w:cs="宋体"/>
                <w:szCs w:val="21"/>
              </w:rPr>
              <w:t>供应商应将所提供货物的使用说明书、原厂保修卡等附随资料和附随配件、工具等交付给采购方；</w:t>
            </w:r>
          </w:p>
          <w:p w14:paraId="70DA313F">
            <w:pPr>
              <w:widowControl/>
              <w:spacing w:line="360" w:lineRule="auto"/>
              <w:rPr>
                <w:rFonts w:ascii="宋体" w:hAnsi="宋体" w:eastAsia="宋体" w:cs="宋体"/>
                <w:szCs w:val="21"/>
              </w:rPr>
            </w:pPr>
            <w:r>
              <w:rPr>
                <w:rFonts w:ascii="宋体" w:hAnsi="宋体" w:eastAsia="宋体" w:cs="宋体"/>
                <w:szCs w:val="21"/>
              </w:rPr>
              <w:t>1.5</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52EC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6F0D050">
            <w:pPr>
              <w:widowControl/>
              <w:spacing w:line="360" w:lineRule="auto"/>
              <w:rPr>
                <w:rFonts w:ascii="宋体" w:hAnsi="宋体" w:eastAsia="宋体" w:cs="宋体"/>
                <w:b/>
                <w:szCs w:val="21"/>
              </w:rPr>
            </w:pPr>
            <w:r>
              <w:rPr>
                <w:rFonts w:hint="eastAsia" w:ascii="宋体" w:hAnsi="宋体" w:eastAsia="宋体" w:cs="宋体"/>
                <w:bCs/>
                <w:szCs w:val="21"/>
              </w:rPr>
              <w:t>2</w:t>
            </w:r>
          </w:p>
        </w:tc>
        <w:tc>
          <w:tcPr>
            <w:tcW w:w="1514" w:type="dxa"/>
          </w:tcPr>
          <w:p w14:paraId="23E7D04F">
            <w:pPr>
              <w:widowControl/>
              <w:spacing w:line="360" w:lineRule="auto"/>
              <w:rPr>
                <w:rFonts w:ascii="宋体" w:hAnsi="宋体" w:eastAsia="宋体" w:cs="宋体"/>
                <w:szCs w:val="21"/>
              </w:rPr>
            </w:pPr>
          </w:p>
          <w:p w14:paraId="1F874571">
            <w:pPr>
              <w:widowControl/>
              <w:spacing w:line="360" w:lineRule="auto"/>
              <w:rPr>
                <w:rFonts w:ascii="宋体" w:hAnsi="宋体" w:eastAsia="宋体" w:cs="宋体"/>
                <w:szCs w:val="21"/>
              </w:rPr>
            </w:pPr>
          </w:p>
          <w:p w14:paraId="5F744D20">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6613" w:type="dxa"/>
            <w:gridSpan w:val="2"/>
          </w:tcPr>
          <w:p w14:paraId="0BBFAA15">
            <w:pPr>
              <w:widowControl/>
              <w:spacing w:line="360" w:lineRule="auto"/>
              <w:rPr>
                <w:rFonts w:ascii="宋体" w:hAnsi="宋体" w:eastAsia="宋体" w:cs="宋体"/>
                <w:b/>
                <w:szCs w:val="21"/>
              </w:rPr>
            </w:pPr>
            <w:r>
              <w:rPr>
                <w:rFonts w:hint="eastAsia" w:ascii="宋体" w:hAnsi="宋体" w:eastAsia="宋体" w:cs="宋体"/>
                <w:bCs/>
                <w:szCs w:val="21"/>
              </w:rPr>
              <w:t>保修期内如果有因高性能工作站硬件问题而引起的故障，中标人应提供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59B0F05C">
            <w:pPr>
              <w:widowControl/>
              <w:spacing w:line="360" w:lineRule="auto"/>
              <w:rPr>
                <w:rFonts w:ascii="宋体" w:hAnsi="宋体" w:eastAsia="宋体" w:cs="宋体"/>
                <w:b/>
                <w:szCs w:val="21"/>
              </w:rPr>
            </w:pPr>
            <w:r>
              <w:rPr>
                <w:rFonts w:hint="eastAsia" w:ascii="宋体" w:hAnsi="宋体" w:eastAsia="宋体" w:cs="宋体"/>
                <w:szCs w:val="21"/>
              </w:rPr>
              <w:t>3</w:t>
            </w:r>
          </w:p>
        </w:tc>
        <w:tc>
          <w:tcPr>
            <w:tcW w:w="1514" w:type="dxa"/>
            <w:vMerge w:val="restart"/>
            <w:vAlign w:val="center"/>
          </w:tcPr>
          <w:p w14:paraId="7401DB5A">
            <w:pPr>
              <w:widowControl/>
              <w:spacing w:line="360" w:lineRule="auto"/>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见规格参数部分</w:t>
            </w:r>
            <w:r>
              <w:rPr>
                <w:rFonts w:hint="eastAsia" w:ascii="宋体" w:hAnsi="宋体" w:eastAsia="宋体" w:cs="宋体"/>
                <w:bCs/>
                <w:szCs w:val="21"/>
              </w:rPr>
              <w:t>，时间自最终验收合格并交付使用之日起计算。</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2FB3498D">
            <w:pPr>
              <w:widowControl/>
              <w:spacing w:line="360" w:lineRule="auto"/>
              <w:rPr>
                <w:rFonts w:ascii="宋体" w:hAnsi="宋体" w:eastAsia="宋体" w:cs="宋体"/>
                <w:b/>
                <w:szCs w:val="21"/>
              </w:rPr>
            </w:pPr>
          </w:p>
        </w:tc>
        <w:tc>
          <w:tcPr>
            <w:tcW w:w="1514" w:type="dxa"/>
            <w:vMerge w:val="continue"/>
            <w:vAlign w:val="center"/>
          </w:tcPr>
          <w:p w14:paraId="0C196D09">
            <w:pPr>
              <w:widowControl/>
              <w:spacing w:line="360" w:lineRule="auto"/>
              <w:rPr>
                <w:rFonts w:ascii="宋体" w:hAnsi="宋体" w:eastAsia="宋体" w:cs="宋体"/>
                <w:b/>
                <w:szCs w:val="21"/>
              </w:rPr>
            </w:pPr>
          </w:p>
        </w:tc>
        <w:tc>
          <w:tcPr>
            <w:tcW w:w="6613"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3C16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631A86A">
            <w:pPr>
              <w:widowControl/>
              <w:spacing w:line="360" w:lineRule="auto"/>
              <w:rPr>
                <w:rFonts w:ascii="宋体" w:hAnsi="宋体" w:eastAsia="宋体" w:cs="宋体"/>
                <w:b/>
                <w:szCs w:val="21"/>
              </w:rPr>
            </w:pPr>
            <w:r>
              <w:rPr>
                <w:rFonts w:hint="eastAsia" w:ascii="宋体" w:hAnsi="宋体" w:eastAsia="宋体" w:cs="宋体"/>
                <w:szCs w:val="21"/>
              </w:rPr>
              <w:t>4</w:t>
            </w:r>
          </w:p>
        </w:tc>
        <w:tc>
          <w:tcPr>
            <w:tcW w:w="1514" w:type="dxa"/>
            <w:vAlign w:val="center"/>
          </w:tcPr>
          <w:p w14:paraId="3A169C09">
            <w:pPr>
              <w:widowControl/>
              <w:spacing w:line="360" w:lineRule="auto"/>
              <w:rPr>
                <w:rFonts w:ascii="宋体" w:hAnsi="宋体" w:eastAsia="宋体" w:cs="宋体"/>
                <w:b/>
                <w:szCs w:val="21"/>
              </w:rPr>
            </w:pPr>
            <w:r>
              <w:rPr>
                <w:rFonts w:hint="eastAsia" w:ascii="宋体" w:hAnsi="宋体" w:eastAsia="宋体" w:cs="宋体"/>
                <w:szCs w:val="21"/>
              </w:rPr>
              <w:t>技术文件</w:t>
            </w:r>
          </w:p>
        </w:tc>
        <w:tc>
          <w:tcPr>
            <w:tcW w:w="6613" w:type="dxa"/>
            <w:gridSpan w:val="2"/>
            <w:vAlign w:val="center"/>
          </w:tcPr>
          <w:p w14:paraId="106CE196">
            <w:pPr>
              <w:widowControl/>
              <w:spacing w:line="360" w:lineRule="auto"/>
              <w:rPr>
                <w:rFonts w:ascii="宋体" w:hAnsi="宋体" w:eastAsia="宋体" w:cs="宋体"/>
                <w:b/>
                <w:szCs w:val="21"/>
              </w:rPr>
            </w:pPr>
            <w:r>
              <w:rPr>
                <w:rFonts w:hint="eastAsia" w:ascii="宋体" w:hAnsi="宋体" w:eastAsia="宋体" w:cs="宋体"/>
                <w:bCs/>
                <w:szCs w:val="21"/>
              </w:rPr>
              <w:t>供应商应提供全套、完整的书面技术资料。</w:t>
            </w:r>
          </w:p>
        </w:tc>
      </w:tr>
      <w:tr w14:paraId="02BD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52F45714">
            <w:pPr>
              <w:widowControl/>
              <w:spacing w:line="360" w:lineRule="auto"/>
              <w:rPr>
                <w:rFonts w:ascii="宋体" w:hAnsi="宋体" w:eastAsia="宋体" w:cs="宋体"/>
                <w:b/>
                <w:szCs w:val="21"/>
              </w:rPr>
            </w:pPr>
            <w:r>
              <w:rPr>
                <w:rFonts w:hint="eastAsia" w:ascii="宋体" w:hAnsi="宋体" w:eastAsia="宋体" w:cs="宋体"/>
                <w:b/>
                <w:szCs w:val="21"/>
              </w:rPr>
              <w:t>（二）免费保修期外售后服务要求</w:t>
            </w:r>
          </w:p>
        </w:tc>
      </w:tr>
      <w:tr w14:paraId="6B4E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726" w:type="dxa"/>
            <w:vAlign w:val="center"/>
          </w:tcPr>
          <w:p w14:paraId="3778545D">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542" w:type="dxa"/>
            <w:gridSpan w:val="2"/>
            <w:vAlign w:val="center"/>
          </w:tcPr>
          <w:p w14:paraId="1E49410A">
            <w:pPr>
              <w:widowControl/>
              <w:spacing w:line="360" w:lineRule="auto"/>
              <w:jc w:val="center"/>
              <w:rPr>
                <w:rFonts w:ascii="宋体" w:hAnsi="宋体" w:eastAsia="宋体" w:cs="宋体"/>
                <w:bCs/>
                <w:szCs w:val="21"/>
              </w:rPr>
            </w:pPr>
            <w:r>
              <w:rPr>
                <w:rStyle w:val="10"/>
                <w:rFonts w:hint="eastAsia" w:ascii="宋体" w:hAnsi="宋体" w:eastAsia="宋体" w:cs="宋体"/>
                <w:b w:val="0"/>
                <w:szCs w:val="21"/>
              </w:rPr>
              <w:t>维修零配件和延续保修</w:t>
            </w:r>
          </w:p>
        </w:tc>
        <w:tc>
          <w:tcPr>
            <w:tcW w:w="6585" w:type="dxa"/>
            <w:vAlign w:val="center"/>
          </w:tcPr>
          <w:p w14:paraId="7B50F186">
            <w:pPr>
              <w:widowControl/>
              <w:spacing w:line="360" w:lineRule="auto"/>
              <w:rPr>
                <w:rFonts w:ascii="宋体" w:hAnsi="宋体" w:eastAsia="宋体" w:cs="宋体"/>
                <w:b/>
                <w:szCs w:val="21"/>
              </w:rPr>
            </w:pPr>
            <w:r>
              <w:rPr>
                <w:rFonts w:hint="eastAsia" w:ascii="宋体" w:hAnsi="宋体" w:eastAsia="宋体" w:cs="宋体"/>
                <w:szCs w:val="21"/>
              </w:rPr>
              <w:t>由设备制造商提供售后服务，</w:t>
            </w:r>
            <w:r>
              <w:rPr>
                <w:rFonts w:hint="eastAsia" w:ascii="宋体" w:hAnsi="宋体" w:eastAsia="宋体" w:cs="宋体"/>
                <w:szCs w:val="21"/>
                <w:u w:val="single"/>
              </w:rPr>
              <w:t>1</w:t>
            </w:r>
            <w:r>
              <w:rPr>
                <w:rFonts w:ascii="宋体" w:hAnsi="宋体" w:eastAsia="宋体" w:cs="宋体"/>
                <w:szCs w:val="21"/>
                <w:u w:val="single"/>
              </w:rPr>
              <w:t>2</w:t>
            </w:r>
            <w:r>
              <w:rPr>
                <w:rFonts w:hint="eastAsia" w:ascii="宋体" w:hAnsi="宋体" w:eastAsia="宋体" w:cs="宋体"/>
                <w:szCs w:val="21"/>
              </w:rPr>
              <w:t>内响应，</w:t>
            </w:r>
            <w:r>
              <w:rPr>
                <w:rFonts w:hint="eastAsia" w:ascii="宋体" w:hAnsi="宋体" w:eastAsia="宋体" w:cs="宋体"/>
                <w:szCs w:val="21"/>
                <w:u w:val="single"/>
              </w:rPr>
              <w:t>24</w:t>
            </w:r>
            <w:r>
              <w:rPr>
                <w:rFonts w:hint="eastAsia" w:ascii="宋体" w:hAnsi="宋体" w:eastAsia="宋体" w:cs="宋体"/>
                <w:szCs w:val="21"/>
              </w:rPr>
              <w:t>小时维修到位，并在</w:t>
            </w:r>
            <w:r>
              <w:rPr>
                <w:rFonts w:ascii="宋体" w:hAnsi="宋体" w:eastAsia="宋体" w:cs="宋体"/>
                <w:szCs w:val="21"/>
                <w:u w:val="single"/>
              </w:rPr>
              <w:t>72</w:t>
            </w:r>
            <w:r>
              <w:rPr>
                <w:rFonts w:hint="eastAsia" w:ascii="宋体" w:hAnsi="宋体" w:eastAsia="宋体" w:cs="宋体"/>
                <w:szCs w:val="21"/>
              </w:rPr>
              <w:t>内消除故障（不可抗力情况除外）。设备零配件供应及时，特殊情况下可提供备用机。</w:t>
            </w:r>
          </w:p>
        </w:tc>
      </w:tr>
      <w:tr w14:paraId="0D85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6" w:type="dxa"/>
            <w:vAlign w:val="center"/>
          </w:tcPr>
          <w:p w14:paraId="48724B33">
            <w:pPr>
              <w:widowControl/>
              <w:spacing w:line="360" w:lineRule="auto"/>
              <w:jc w:val="center"/>
              <w:rPr>
                <w:rFonts w:ascii="宋体" w:hAnsi="宋体" w:eastAsia="宋体" w:cs="宋体"/>
                <w:bCs/>
                <w:szCs w:val="21"/>
              </w:rPr>
            </w:pPr>
            <w:r>
              <w:rPr>
                <w:rFonts w:hint="eastAsia" w:ascii="宋体" w:hAnsi="宋体" w:eastAsia="宋体" w:cs="宋体"/>
                <w:bCs/>
                <w:szCs w:val="21"/>
              </w:rPr>
              <w:t>2</w:t>
            </w:r>
          </w:p>
        </w:tc>
        <w:tc>
          <w:tcPr>
            <w:tcW w:w="1542" w:type="dxa"/>
            <w:gridSpan w:val="2"/>
            <w:vAlign w:val="center"/>
          </w:tcPr>
          <w:p w14:paraId="63BBB9EB">
            <w:pPr>
              <w:widowControl/>
              <w:spacing w:line="360" w:lineRule="auto"/>
              <w:jc w:val="center"/>
              <w:rPr>
                <w:rFonts w:ascii="宋体" w:hAnsi="宋体" w:eastAsia="宋体" w:cs="宋体"/>
                <w:szCs w:val="21"/>
              </w:rPr>
            </w:pPr>
            <w:r>
              <w:rPr>
                <w:rFonts w:hint="eastAsia" w:ascii="宋体" w:hAnsi="宋体" w:eastAsia="宋体" w:cs="宋体"/>
                <w:szCs w:val="21"/>
              </w:rPr>
              <w:t>维保期外的维修</w:t>
            </w:r>
          </w:p>
        </w:tc>
        <w:tc>
          <w:tcPr>
            <w:tcW w:w="6585" w:type="dxa"/>
            <w:vAlign w:val="center"/>
          </w:tcPr>
          <w:p w14:paraId="33D856C5">
            <w:pPr>
              <w:widowControl/>
              <w:spacing w:line="360" w:lineRule="auto"/>
              <w:rPr>
                <w:rFonts w:ascii="宋体" w:hAnsi="宋体" w:eastAsia="宋体" w:cs="宋体"/>
                <w:szCs w:val="21"/>
              </w:rPr>
            </w:pPr>
            <w:r>
              <w:rPr>
                <w:rFonts w:hint="eastAsia" w:ascii="宋体" w:hAnsi="宋体" w:eastAsia="宋体" w:cs="宋体"/>
                <w:szCs w:val="21"/>
              </w:rPr>
              <w:t>保修期满后，成交人必须继续支持维修。</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（三）其他商务要求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542"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1.1履约时间和地点：供应商在签订合同之日起5天内交货，交货地点为采购方指定位置。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2A0E42EC">
            <w:pPr>
              <w:widowControl/>
              <w:spacing w:line="360" w:lineRule="auto"/>
              <w:jc w:val="center"/>
              <w:rPr>
                <w:rFonts w:ascii="宋体" w:hAnsi="宋体" w:eastAsia="宋体" w:cs="宋体"/>
                <w:b/>
                <w:szCs w:val="21"/>
              </w:rPr>
            </w:pPr>
          </w:p>
        </w:tc>
        <w:tc>
          <w:tcPr>
            <w:tcW w:w="1542" w:type="dxa"/>
            <w:gridSpan w:val="2"/>
            <w:vMerge w:val="continue"/>
            <w:vAlign w:val="center"/>
          </w:tcPr>
          <w:p w14:paraId="002A110F">
            <w:pPr>
              <w:widowControl/>
              <w:spacing w:line="360" w:lineRule="auto"/>
              <w:jc w:val="center"/>
              <w:rPr>
                <w:rFonts w:ascii="宋体" w:hAnsi="宋体" w:eastAsia="宋体" w:cs="宋体"/>
                <w:b/>
                <w:szCs w:val="21"/>
              </w:rPr>
            </w:pPr>
          </w:p>
        </w:tc>
        <w:tc>
          <w:tcPr>
            <w:tcW w:w="6585"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768421DB">
            <w:pPr>
              <w:widowControl/>
              <w:spacing w:line="360" w:lineRule="auto"/>
              <w:jc w:val="center"/>
              <w:rPr>
                <w:rFonts w:ascii="宋体" w:hAnsi="宋体" w:eastAsia="宋体" w:cs="宋体"/>
                <w:b/>
                <w:szCs w:val="21"/>
              </w:rPr>
            </w:pPr>
          </w:p>
        </w:tc>
        <w:tc>
          <w:tcPr>
            <w:tcW w:w="1542" w:type="dxa"/>
            <w:gridSpan w:val="2"/>
            <w:vMerge w:val="continue"/>
            <w:vAlign w:val="center"/>
          </w:tcPr>
          <w:p w14:paraId="4613B5BC">
            <w:pPr>
              <w:widowControl/>
              <w:spacing w:line="360" w:lineRule="auto"/>
              <w:jc w:val="center"/>
              <w:rPr>
                <w:rFonts w:ascii="宋体" w:hAnsi="宋体" w:eastAsia="宋体" w:cs="宋体"/>
                <w:szCs w:val="21"/>
              </w:rPr>
            </w:pPr>
          </w:p>
        </w:tc>
        <w:tc>
          <w:tcPr>
            <w:tcW w:w="6585"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379B3183">
            <w:pPr>
              <w:widowControl/>
              <w:spacing w:line="360" w:lineRule="auto"/>
              <w:jc w:val="center"/>
              <w:rPr>
                <w:rFonts w:ascii="宋体" w:hAnsi="宋体" w:eastAsia="宋体" w:cs="宋体"/>
                <w:b/>
                <w:szCs w:val="21"/>
              </w:rPr>
            </w:pPr>
          </w:p>
        </w:tc>
        <w:tc>
          <w:tcPr>
            <w:tcW w:w="1542" w:type="dxa"/>
            <w:gridSpan w:val="2"/>
            <w:vMerge w:val="continue"/>
            <w:vAlign w:val="center"/>
          </w:tcPr>
          <w:p w14:paraId="57C730E6">
            <w:pPr>
              <w:widowControl/>
              <w:spacing w:line="360" w:lineRule="auto"/>
              <w:jc w:val="center"/>
              <w:rPr>
                <w:rFonts w:ascii="宋体" w:hAnsi="宋体" w:eastAsia="宋体" w:cs="宋体"/>
                <w:szCs w:val="21"/>
              </w:rPr>
            </w:pPr>
          </w:p>
        </w:tc>
        <w:tc>
          <w:tcPr>
            <w:tcW w:w="6585"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6" w:type="dxa"/>
            <w:vMerge w:val="restart"/>
            <w:vAlign w:val="center"/>
          </w:tcPr>
          <w:p w14:paraId="0CB73615">
            <w:pPr>
              <w:widowControl/>
              <w:spacing w:line="360" w:lineRule="auto"/>
              <w:jc w:val="center"/>
              <w:rPr>
                <w:rFonts w:ascii="宋体" w:hAnsi="宋体" w:eastAsia="宋体" w:cs="宋体"/>
                <w:b/>
                <w:szCs w:val="21"/>
              </w:rPr>
            </w:pPr>
            <w:r>
              <w:rPr>
                <w:rFonts w:hint="eastAsia" w:ascii="宋体" w:hAnsi="宋体" w:eastAsia="宋体" w:cs="宋体"/>
                <w:b/>
                <w:szCs w:val="21"/>
              </w:rPr>
              <w:t>2</w:t>
            </w:r>
          </w:p>
        </w:tc>
        <w:tc>
          <w:tcPr>
            <w:tcW w:w="1542" w:type="dxa"/>
            <w:gridSpan w:val="2"/>
            <w:vMerge w:val="restart"/>
            <w:vAlign w:val="center"/>
          </w:tcPr>
          <w:p w14:paraId="6BA288A3">
            <w:pPr>
              <w:widowControl/>
              <w:spacing w:line="360" w:lineRule="auto"/>
              <w:jc w:val="center"/>
              <w:rPr>
                <w:rFonts w:ascii="宋体" w:hAnsi="宋体" w:eastAsia="宋体" w:cs="宋体"/>
                <w:szCs w:val="21"/>
              </w:rPr>
            </w:pPr>
            <w:r>
              <w:rPr>
                <w:rStyle w:val="10"/>
                <w:rFonts w:hint="eastAsia" w:ascii="宋体" w:hAnsi="宋体" w:eastAsia="宋体" w:cs="宋体"/>
                <w:szCs w:val="21"/>
              </w:rPr>
              <w:t>运输及安装、调试</w:t>
            </w:r>
          </w:p>
        </w:tc>
        <w:tc>
          <w:tcPr>
            <w:tcW w:w="6585"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 5天内向采购人提供设备的运行、安装、使用环境要求。</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26" w:type="dxa"/>
            <w:vMerge w:val="continue"/>
            <w:vAlign w:val="center"/>
          </w:tcPr>
          <w:p w14:paraId="320D5DCD">
            <w:pPr>
              <w:widowControl/>
              <w:spacing w:line="360" w:lineRule="auto"/>
              <w:jc w:val="center"/>
              <w:rPr>
                <w:rFonts w:ascii="宋体" w:hAnsi="宋体" w:eastAsia="宋体" w:cs="宋体"/>
                <w:b/>
                <w:szCs w:val="21"/>
              </w:rPr>
            </w:pPr>
          </w:p>
        </w:tc>
        <w:tc>
          <w:tcPr>
            <w:tcW w:w="1542" w:type="dxa"/>
            <w:gridSpan w:val="2"/>
            <w:vMerge w:val="continue"/>
            <w:vAlign w:val="center"/>
          </w:tcPr>
          <w:p w14:paraId="45D45757">
            <w:pPr>
              <w:widowControl/>
              <w:spacing w:line="360" w:lineRule="auto"/>
              <w:jc w:val="center"/>
              <w:rPr>
                <w:rStyle w:val="10"/>
                <w:rFonts w:ascii="宋体" w:hAnsi="宋体" w:eastAsia="宋体" w:cs="宋体"/>
                <w:szCs w:val="21"/>
              </w:rPr>
            </w:pPr>
          </w:p>
        </w:tc>
        <w:tc>
          <w:tcPr>
            <w:tcW w:w="6585" w:type="dxa"/>
            <w:vAlign w:val="center"/>
          </w:tcPr>
          <w:p w14:paraId="7E278496">
            <w:pPr>
              <w:spacing w:line="360" w:lineRule="auto"/>
              <w:rPr>
                <w:rFonts w:ascii="宋体" w:hAnsi="宋体" w:eastAsia="宋体" w:cs="宋体"/>
                <w:szCs w:val="21"/>
              </w:rPr>
            </w:pPr>
            <w:r>
              <w:rPr>
                <w:rFonts w:hint="eastAsia" w:ascii="宋体" w:hAnsi="宋体" w:eastAsia="宋体" w:cs="宋体"/>
                <w:bCs/>
                <w:szCs w:val="21"/>
              </w:rPr>
              <w:t>2.2供应商须对产品进行免费安装并提供完成本项目而需要的线材和配件。</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21EFDC4A">
            <w:pPr>
              <w:widowControl/>
              <w:spacing w:line="360" w:lineRule="auto"/>
              <w:jc w:val="center"/>
              <w:rPr>
                <w:rFonts w:ascii="宋体" w:hAnsi="宋体" w:eastAsia="宋体" w:cs="宋体"/>
                <w:b/>
                <w:szCs w:val="21"/>
              </w:rPr>
            </w:pPr>
          </w:p>
        </w:tc>
        <w:tc>
          <w:tcPr>
            <w:tcW w:w="1542" w:type="dxa"/>
            <w:gridSpan w:val="2"/>
            <w:vMerge w:val="continue"/>
            <w:vAlign w:val="center"/>
          </w:tcPr>
          <w:p w14:paraId="09E2CD5D">
            <w:pPr>
              <w:widowControl/>
              <w:spacing w:line="360" w:lineRule="auto"/>
              <w:jc w:val="center"/>
              <w:rPr>
                <w:rStyle w:val="10"/>
                <w:rFonts w:ascii="宋体" w:hAnsi="宋体" w:eastAsia="宋体" w:cs="宋体"/>
                <w:szCs w:val="21"/>
              </w:rPr>
            </w:pPr>
          </w:p>
        </w:tc>
        <w:tc>
          <w:tcPr>
            <w:tcW w:w="6585"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86AD9A6">
            <w:pPr>
              <w:widowControl/>
              <w:spacing w:line="360" w:lineRule="auto"/>
              <w:jc w:val="center"/>
              <w:rPr>
                <w:rFonts w:ascii="宋体" w:hAnsi="宋体" w:eastAsia="宋体" w:cs="宋体"/>
                <w:b/>
                <w:szCs w:val="21"/>
              </w:rPr>
            </w:pPr>
          </w:p>
        </w:tc>
        <w:tc>
          <w:tcPr>
            <w:tcW w:w="1542" w:type="dxa"/>
            <w:gridSpan w:val="2"/>
            <w:vMerge w:val="continue"/>
            <w:vAlign w:val="center"/>
          </w:tcPr>
          <w:p w14:paraId="762C7A16">
            <w:pPr>
              <w:widowControl/>
              <w:spacing w:line="360" w:lineRule="auto"/>
              <w:jc w:val="center"/>
              <w:rPr>
                <w:rStyle w:val="10"/>
                <w:rFonts w:ascii="宋体" w:hAnsi="宋体" w:eastAsia="宋体" w:cs="宋体"/>
                <w:szCs w:val="21"/>
              </w:rPr>
            </w:pPr>
          </w:p>
        </w:tc>
        <w:tc>
          <w:tcPr>
            <w:tcW w:w="6585"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091E3043">
            <w:pPr>
              <w:widowControl/>
              <w:spacing w:line="360" w:lineRule="auto"/>
              <w:jc w:val="center"/>
              <w:rPr>
                <w:rFonts w:ascii="宋体" w:hAnsi="宋体" w:eastAsia="宋体" w:cs="宋体"/>
                <w:b/>
                <w:szCs w:val="21"/>
              </w:rPr>
            </w:pPr>
          </w:p>
        </w:tc>
        <w:tc>
          <w:tcPr>
            <w:tcW w:w="1542" w:type="dxa"/>
            <w:gridSpan w:val="2"/>
            <w:vMerge w:val="continue"/>
            <w:vAlign w:val="center"/>
          </w:tcPr>
          <w:p w14:paraId="662E2160">
            <w:pPr>
              <w:widowControl/>
              <w:spacing w:line="360" w:lineRule="auto"/>
              <w:jc w:val="center"/>
              <w:rPr>
                <w:rStyle w:val="10"/>
                <w:rFonts w:ascii="宋体" w:hAnsi="宋体" w:eastAsia="宋体" w:cs="宋体"/>
                <w:szCs w:val="21"/>
              </w:rPr>
            </w:pPr>
          </w:p>
        </w:tc>
        <w:tc>
          <w:tcPr>
            <w:tcW w:w="6585"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1334D51">
            <w:pPr>
              <w:widowControl/>
              <w:spacing w:line="360" w:lineRule="auto"/>
              <w:jc w:val="center"/>
              <w:rPr>
                <w:rFonts w:ascii="宋体" w:hAnsi="宋体" w:eastAsia="宋体" w:cs="宋体"/>
                <w:b/>
                <w:szCs w:val="21"/>
              </w:rPr>
            </w:pPr>
          </w:p>
        </w:tc>
        <w:tc>
          <w:tcPr>
            <w:tcW w:w="1542" w:type="dxa"/>
            <w:gridSpan w:val="2"/>
            <w:vMerge w:val="continue"/>
            <w:vAlign w:val="center"/>
          </w:tcPr>
          <w:p w14:paraId="1829EA6E">
            <w:pPr>
              <w:widowControl/>
              <w:spacing w:line="360" w:lineRule="auto"/>
              <w:jc w:val="center"/>
              <w:rPr>
                <w:rStyle w:val="10"/>
                <w:rFonts w:ascii="宋体" w:hAnsi="宋体" w:eastAsia="宋体" w:cs="宋体"/>
                <w:szCs w:val="21"/>
              </w:rPr>
            </w:pPr>
          </w:p>
        </w:tc>
        <w:tc>
          <w:tcPr>
            <w:tcW w:w="6585"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856AAE4">
            <w:pPr>
              <w:widowControl/>
              <w:spacing w:line="360" w:lineRule="auto"/>
              <w:jc w:val="center"/>
              <w:rPr>
                <w:rFonts w:ascii="宋体" w:hAnsi="宋体" w:eastAsia="宋体" w:cs="宋体"/>
                <w:b/>
                <w:szCs w:val="21"/>
              </w:rPr>
            </w:pPr>
          </w:p>
        </w:tc>
        <w:tc>
          <w:tcPr>
            <w:tcW w:w="1542" w:type="dxa"/>
            <w:gridSpan w:val="2"/>
            <w:vMerge w:val="continue"/>
            <w:vAlign w:val="center"/>
          </w:tcPr>
          <w:p w14:paraId="6FE6CBE9">
            <w:pPr>
              <w:widowControl/>
              <w:spacing w:line="360" w:lineRule="auto"/>
              <w:jc w:val="center"/>
              <w:rPr>
                <w:rStyle w:val="10"/>
                <w:rFonts w:ascii="宋体" w:hAnsi="宋体" w:eastAsia="宋体" w:cs="宋体"/>
                <w:szCs w:val="21"/>
              </w:rPr>
            </w:pPr>
          </w:p>
        </w:tc>
        <w:tc>
          <w:tcPr>
            <w:tcW w:w="6585"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7202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5068F693">
            <w:pPr>
              <w:widowControl/>
              <w:spacing w:line="360" w:lineRule="auto"/>
              <w:jc w:val="center"/>
              <w:rPr>
                <w:rFonts w:ascii="宋体" w:hAnsi="宋体" w:eastAsia="宋体" w:cs="宋体"/>
                <w:b/>
                <w:szCs w:val="21"/>
              </w:rPr>
            </w:pPr>
            <w:r>
              <w:rPr>
                <w:rFonts w:hint="eastAsia" w:ascii="宋体" w:hAnsi="宋体" w:eastAsia="宋体" w:cs="宋体"/>
                <w:b/>
                <w:szCs w:val="21"/>
              </w:rPr>
              <w:t>3</w:t>
            </w:r>
          </w:p>
        </w:tc>
        <w:tc>
          <w:tcPr>
            <w:tcW w:w="1542" w:type="dxa"/>
            <w:gridSpan w:val="2"/>
            <w:vMerge w:val="restart"/>
            <w:vAlign w:val="center"/>
          </w:tcPr>
          <w:p w14:paraId="65C8453C">
            <w:pPr>
              <w:widowControl/>
              <w:spacing w:line="360" w:lineRule="auto"/>
              <w:jc w:val="center"/>
              <w:rPr>
                <w:rFonts w:ascii="宋体" w:hAnsi="宋体" w:eastAsia="宋体" w:cs="宋体"/>
                <w:b/>
                <w:szCs w:val="21"/>
              </w:rPr>
            </w:pPr>
            <w:r>
              <w:rPr>
                <w:rFonts w:hint="eastAsia" w:ascii="宋体" w:hAnsi="宋体" w:eastAsia="宋体" w:cs="宋体"/>
                <w:b/>
                <w:szCs w:val="21"/>
              </w:rPr>
              <w:t>培训</w:t>
            </w:r>
          </w:p>
        </w:tc>
        <w:tc>
          <w:tcPr>
            <w:tcW w:w="6585" w:type="dxa"/>
          </w:tcPr>
          <w:p w14:paraId="4F14F4D9">
            <w:pPr>
              <w:widowControl/>
              <w:spacing w:line="360" w:lineRule="auto"/>
              <w:jc w:val="left"/>
              <w:rPr>
                <w:rFonts w:ascii="宋体" w:hAnsi="宋体" w:eastAsia="宋体" w:cs="宋体"/>
                <w:szCs w:val="21"/>
              </w:rPr>
            </w:pPr>
            <w:r>
              <w:rPr>
                <w:rFonts w:hint="eastAsia" w:ascii="宋体" w:hAnsi="宋体" w:eastAsia="宋体" w:cs="宋体"/>
                <w:szCs w:val="21"/>
              </w:rPr>
              <w:t>3.1 投标供应商应派专业技术人员免费对采购单位指定人员进行定期培训及指导，直至其完全掌握设备的基本故障处理技术。</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5471F808">
            <w:pPr>
              <w:widowControl/>
              <w:spacing w:line="360" w:lineRule="auto"/>
              <w:jc w:val="center"/>
              <w:rPr>
                <w:rFonts w:ascii="宋体" w:hAnsi="宋体" w:eastAsia="宋体" w:cs="宋体"/>
                <w:b/>
                <w:szCs w:val="21"/>
              </w:rPr>
            </w:pPr>
          </w:p>
        </w:tc>
        <w:tc>
          <w:tcPr>
            <w:tcW w:w="1542" w:type="dxa"/>
            <w:gridSpan w:val="2"/>
            <w:vMerge w:val="continue"/>
            <w:vAlign w:val="center"/>
          </w:tcPr>
          <w:p w14:paraId="33452FD6">
            <w:pPr>
              <w:widowControl/>
              <w:spacing w:line="360" w:lineRule="auto"/>
              <w:rPr>
                <w:rFonts w:ascii="宋体" w:hAnsi="宋体" w:eastAsia="宋体" w:cs="宋体"/>
                <w:b/>
                <w:szCs w:val="21"/>
              </w:rPr>
            </w:pPr>
          </w:p>
        </w:tc>
        <w:tc>
          <w:tcPr>
            <w:tcW w:w="6585" w:type="dxa"/>
          </w:tcPr>
          <w:p w14:paraId="0048F1EC">
            <w:pPr>
              <w:widowControl/>
              <w:spacing w:line="360" w:lineRule="auto"/>
              <w:jc w:val="left"/>
              <w:rPr>
                <w:rFonts w:ascii="宋体" w:hAnsi="宋体" w:eastAsia="宋体" w:cs="宋体"/>
                <w:szCs w:val="21"/>
              </w:rPr>
            </w:pPr>
            <w:r>
              <w:rPr>
                <w:rFonts w:hint="eastAsia" w:ascii="宋体" w:hAnsi="宋体" w:eastAsia="宋体" w:cs="宋体"/>
                <w:szCs w:val="21"/>
              </w:rPr>
              <w:t>3.2 现场培训：供应商应提供现场技术培训，保证使用人员正常操作设备的各种功能。</w:t>
            </w:r>
          </w:p>
        </w:tc>
      </w:tr>
      <w:tr w14:paraId="75AF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26" w:type="dxa"/>
            <w:vAlign w:val="center"/>
          </w:tcPr>
          <w:p w14:paraId="00C78958">
            <w:pPr>
              <w:widowControl/>
              <w:spacing w:line="360" w:lineRule="auto"/>
              <w:jc w:val="center"/>
              <w:rPr>
                <w:rFonts w:ascii="宋体" w:hAnsi="宋体" w:eastAsia="宋体" w:cs="宋体"/>
                <w:b/>
                <w:szCs w:val="21"/>
              </w:rPr>
            </w:pPr>
            <w:r>
              <w:rPr>
                <w:rFonts w:hint="eastAsia" w:ascii="宋体" w:hAnsi="宋体" w:eastAsia="宋体" w:cs="宋体"/>
                <w:b/>
                <w:szCs w:val="21"/>
              </w:rPr>
              <w:t>4</w:t>
            </w:r>
          </w:p>
        </w:tc>
        <w:tc>
          <w:tcPr>
            <w:tcW w:w="1542" w:type="dxa"/>
            <w:gridSpan w:val="2"/>
            <w:vAlign w:val="center"/>
          </w:tcPr>
          <w:p w14:paraId="01ECB8A0">
            <w:pPr>
              <w:widowControl/>
              <w:spacing w:line="360" w:lineRule="auto"/>
              <w:jc w:val="center"/>
              <w:rPr>
                <w:rFonts w:ascii="宋体" w:hAnsi="宋体" w:eastAsia="宋体" w:cs="宋体"/>
                <w:b/>
                <w:szCs w:val="21"/>
              </w:rPr>
            </w:pPr>
            <w:r>
              <w:rPr>
                <w:rFonts w:hint="eastAsia" w:ascii="宋体" w:hAnsi="宋体" w:eastAsia="宋体" w:cs="宋体"/>
                <w:b/>
                <w:szCs w:val="21"/>
              </w:rPr>
              <w:t>知识产权</w:t>
            </w:r>
          </w:p>
        </w:tc>
        <w:tc>
          <w:tcPr>
            <w:tcW w:w="6585" w:type="dxa"/>
          </w:tcPr>
          <w:p w14:paraId="7173772B">
            <w:pPr>
              <w:widowControl/>
              <w:spacing w:line="360" w:lineRule="auto"/>
              <w:jc w:val="left"/>
              <w:rPr>
                <w:rFonts w:ascii="宋体" w:hAnsi="宋体" w:eastAsia="宋体" w:cs="宋体"/>
                <w:szCs w:val="21"/>
              </w:rPr>
            </w:pPr>
            <w:r>
              <w:rPr>
                <w:rFonts w:hint="eastAsia" w:ascii="宋体" w:hAnsi="宋体" w:eastAsia="宋体" w:cs="宋体"/>
                <w:szCs w:val="21"/>
              </w:rPr>
              <w:t>4.1 供应商提供的产品不得侵害第三人的知识产权，否则，供应商应赔偿采购人因此遭受的一切损失</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26" w:type="dxa"/>
            <w:vMerge w:val="restart"/>
            <w:vAlign w:val="center"/>
          </w:tcPr>
          <w:p w14:paraId="6B0EDCD4">
            <w:pPr>
              <w:widowControl/>
              <w:spacing w:line="360" w:lineRule="auto"/>
              <w:jc w:val="center"/>
              <w:rPr>
                <w:rFonts w:ascii="宋体" w:hAnsi="宋体" w:eastAsia="宋体" w:cs="宋体"/>
                <w:b/>
                <w:szCs w:val="21"/>
              </w:rPr>
            </w:pPr>
            <w:r>
              <w:rPr>
                <w:rFonts w:hint="eastAsia" w:ascii="宋体" w:hAnsi="宋体" w:eastAsia="宋体" w:cs="宋体"/>
                <w:b/>
                <w:szCs w:val="21"/>
              </w:rPr>
              <w:t>5</w:t>
            </w:r>
          </w:p>
        </w:tc>
        <w:tc>
          <w:tcPr>
            <w:tcW w:w="1542" w:type="dxa"/>
            <w:gridSpan w:val="2"/>
            <w:vMerge w:val="restart"/>
            <w:vAlign w:val="center"/>
          </w:tcPr>
          <w:p w14:paraId="343A9067">
            <w:pPr>
              <w:widowControl/>
              <w:spacing w:line="360" w:lineRule="auto"/>
              <w:jc w:val="center"/>
              <w:rPr>
                <w:rFonts w:ascii="宋体" w:hAnsi="宋体" w:eastAsia="宋体" w:cs="宋体"/>
                <w:b/>
                <w:szCs w:val="21"/>
              </w:rPr>
            </w:pPr>
            <w:r>
              <w:rPr>
                <w:rFonts w:hint="eastAsia" w:ascii="宋体" w:hAnsi="宋体" w:eastAsia="宋体" w:cs="宋体"/>
                <w:b/>
                <w:szCs w:val="21"/>
              </w:rPr>
              <w:t>其他</w:t>
            </w:r>
          </w:p>
        </w:tc>
        <w:tc>
          <w:tcPr>
            <w:tcW w:w="6585" w:type="dxa"/>
            <w:vAlign w:val="center"/>
          </w:tcPr>
          <w:p w14:paraId="45C27BBC">
            <w:pPr>
              <w:widowControl/>
              <w:spacing w:line="360" w:lineRule="auto"/>
              <w:jc w:val="left"/>
              <w:rPr>
                <w:rFonts w:ascii="宋体" w:hAnsi="宋体" w:eastAsia="宋体" w:cs="宋体"/>
                <w:szCs w:val="21"/>
              </w:rPr>
            </w:pPr>
            <w:r>
              <w:rPr>
                <w:rFonts w:hint="eastAsia" w:ascii="宋体" w:hAnsi="宋体" w:eastAsia="宋体" w:cs="宋体"/>
                <w:szCs w:val="21"/>
              </w:rPr>
              <w:t>5.1 供应商中标后须在验收时提供经厂家授权的有效项目授权书扫描件，或者能够证明货物是原厂出厂4</w:t>
            </w:r>
            <w:r>
              <w:rPr>
                <w:rFonts w:ascii="宋体" w:hAnsi="宋体" w:eastAsia="宋体" w:cs="宋体"/>
                <w:szCs w:val="21"/>
              </w:rPr>
              <w:t>00</w:t>
            </w:r>
            <w:r>
              <w:rPr>
                <w:rFonts w:hint="eastAsia" w:ascii="宋体" w:hAnsi="宋体" w:eastAsia="宋体" w:cs="宋体"/>
                <w:szCs w:val="21"/>
              </w:rPr>
              <w:t>电话查询，否则验收不通过。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6" w:type="dxa"/>
            <w:vMerge w:val="continue"/>
            <w:vAlign w:val="center"/>
          </w:tcPr>
          <w:p w14:paraId="79D348D9">
            <w:pPr>
              <w:widowControl/>
              <w:spacing w:line="360" w:lineRule="auto"/>
              <w:jc w:val="center"/>
              <w:rPr>
                <w:rFonts w:ascii="宋体" w:hAnsi="宋体" w:eastAsia="宋体" w:cs="宋体"/>
                <w:b/>
                <w:szCs w:val="21"/>
              </w:rPr>
            </w:pPr>
          </w:p>
        </w:tc>
        <w:tc>
          <w:tcPr>
            <w:tcW w:w="1542" w:type="dxa"/>
            <w:gridSpan w:val="2"/>
            <w:vMerge w:val="continue"/>
            <w:vAlign w:val="center"/>
          </w:tcPr>
          <w:p w14:paraId="399EACE3">
            <w:pPr>
              <w:widowControl/>
              <w:spacing w:line="360" w:lineRule="auto"/>
              <w:jc w:val="center"/>
              <w:rPr>
                <w:rFonts w:ascii="宋体" w:hAnsi="宋体" w:eastAsia="宋体" w:cs="宋体"/>
                <w:b/>
                <w:szCs w:val="21"/>
              </w:rPr>
            </w:pPr>
          </w:p>
        </w:tc>
        <w:tc>
          <w:tcPr>
            <w:tcW w:w="6585" w:type="dxa"/>
            <w:vAlign w:val="center"/>
          </w:tcPr>
          <w:p w14:paraId="175B4447">
            <w:pPr>
              <w:widowControl/>
              <w:spacing w:line="360" w:lineRule="auto"/>
              <w:rPr>
                <w:rFonts w:ascii="宋体" w:hAnsi="宋体" w:eastAsia="宋体" w:cs="宋体"/>
                <w:szCs w:val="21"/>
              </w:rPr>
            </w:pPr>
            <w:r>
              <w:rPr>
                <w:rFonts w:hint="eastAsia" w:ascii="宋体" w:hAnsi="宋体" w:eastAsia="宋体" w:cs="宋体"/>
                <w:szCs w:val="21"/>
              </w:rPr>
              <w:t>5.2供应商应按其投标文件中的承诺，进行其他售后服务工作。</w:t>
            </w: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中宋简">
    <w:panose1 w:val="02010600000101010101"/>
    <w:charset w:val="80"/>
    <w:family w:val="auto"/>
    <w:pitch w:val="default"/>
    <w:sig w:usb0="800002BF" w:usb1="184F6C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67987"/>
    <w:rsid w:val="0008559A"/>
    <w:rsid w:val="00090197"/>
    <w:rsid w:val="000947C9"/>
    <w:rsid w:val="000A0D3E"/>
    <w:rsid w:val="000A1742"/>
    <w:rsid w:val="000A50A8"/>
    <w:rsid w:val="000C5E0C"/>
    <w:rsid w:val="000C5E4D"/>
    <w:rsid w:val="000D7046"/>
    <w:rsid w:val="000E2963"/>
    <w:rsid w:val="000E75D5"/>
    <w:rsid w:val="0016055B"/>
    <w:rsid w:val="00174C07"/>
    <w:rsid w:val="001808C3"/>
    <w:rsid w:val="00194D8C"/>
    <w:rsid w:val="001B6657"/>
    <w:rsid w:val="002316FA"/>
    <w:rsid w:val="00232B68"/>
    <w:rsid w:val="002639DE"/>
    <w:rsid w:val="00276583"/>
    <w:rsid w:val="00277C9C"/>
    <w:rsid w:val="002847A0"/>
    <w:rsid w:val="002A182F"/>
    <w:rsid w:val="002A51F2"/>
    <w:rsid w:val="002D1463"/>
    <w:rsid w:val="002D1E61"/>
    <w:rsid w:val="002F3530"/>
    <w:rsid w:val="00334EDE"/>
    <w:rsid w:val="003366D9"/>
    <w:rsid w:val="00340432"/>
    <w:rsid w:val="003755F4"/>
    <w:rsid w:val="00396837"/>
    <w:rsid w:val="003A4EDC"/>
    <w:rsid w:val="003B5E0A"/>
    <w:rsid w:val="003B7894"/>
    <w:rsid w:val="003E3352"/>
    <w:rsid w:val="003F6FC7"/>
    <w:rsid w:val="00404638"/>
    <w:rsid w:val="00422B48"/>
    <w:rsid w:val="00471649"/>
    <w:rsid w:val="0048389C"/>
    <w:rsid w:val="004A3B0D"/>
    <w:rsid w:val="004D7D63"/>
    <w:rsid w:val="004E6F97"/>
    <w:rsid w:val="0050538A"/>
    <w:rsid w:val="00511D9A"/>
    <w:rsid w:val="00531B4A"/>
    <w:rsid w:val="00532622"/>
    <w:rsid w:val="00534EAA"/>
    <w:rsid w:val="00564F41"/>
    <w:rsid w:val="00585F2E"/>
    <w:rsid w:val="005A0883"/>
    <w:rsid w:val="005A73E6"/>
    <w:rsid w:val="005C77BF"/>
    <w:rsid w:val="005E67D4"/>
    <w:rsid w:val="00610268"/>
    <w:rsid w:val="0065536D"/>
    <w:rsid w:val="00696146"/>
    <w:rsid w:val="006B163F"/>
    <w:rsid w:val="006B43E7"/>
    <w:rsid w:val="006C7E25"/>
    <w:rsid w:val="007006E2"/>
    <w:rsid w:val="00711775"/>
    <w:rsid w:val="00720A47"/>
    <w:rsid w:val="007513FE"/>
    <w:rsid w:val="007526F5"/>
    <w:rsid w:val="007A37B4"/>
    <w:rsid w:val="007A7713"/>
    <w:rsid w:val="007D0524"/>
    <w:rsid w:val="007D0997"/>
    <w:rsid w:val="007D6115"/>
    <w:rsid w:val="007F2E5F"/>
    <w:rsid w:val="0080596E"/>
    <w:rsid w:val="00834754"/>
    <w:rsid w:val="00836089"/>
    <w:rsid w:val="008404AE"/>
    <w:rsid w:val="00870F40"/>
    <w:rsid w:val="00885B4A"/>
    <w:rsid w:val="008B5505"/>
    <w:rsid w:val="008F5426"/>
    <w:rsid w:val="009453AE"/>
    <w:rsid w:val="009615A3"/>
    <w:rsid w:val="009C0872"/>
    <w:rsid w:val="009C184E"/>
    <w:rsid w:val="009D6CBD"/>
    <w:rsid w:val="00A20AA6"/>
    <w:rsid w:val="00A309DE"/>
    <w:rsid w:val="00A521A6"/>
    <w:rsid w:val="00A76012"/>
    <w:rsid w:val="00AB35E6"/>
    <w:rsid w:val="00AD6047"/>
    <w:rsid w:val="00AF7205"/>
    <w:rsid w:val="00AF7D63"/>
    <w:rsid w:val="00B130C0"/>
    <w:rsid w:val="00B40290"/>
    <w:rsid w:val="00BC203C"/>
    <w:rsid w:val="00BC4B38"/>
    <w:rsid w:val="00BF3432"/>
    <w:rsid w:val="00C2090A"/>
    <w:rsid w:val="00C2775C"/>
    <w:rsid w:val="00C35167"/>
    <w:rsid w:val="00C36FF3"/>
    <w:rsid w:val="00CA196E"/>
    <w:rsid w:val="00CA5EE2"/>
    <w:rsid w:val="00CB7CCF"/>
    <w:rsid w:val="00CF74FA"/>
    <w:rsid w:val="00D10E62"/>
    <w:rsid w:val="00D143E6"/>
    <w:rsid w:val="00D51DB9"/>
    <w:rsid w:val="00D87A85"/>
    <w:rsid w:val="00DA19D4"/>
    <w:rsid w:val="00DC1743"/>
    <w:rsid w:val="00E1711A"/>
    <w:rsid w:val="00E5035D"/>
    <w:rsid w:val="00E952AF"/>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29267FB"/>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paragraph" w:styleId="6">
    <w:name w:val="annotation subject"/>
    <w:basedOn w:val="2"/>
    <w:next w:val="2"/>
    <w:link w:val="17"/>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annotation reference"/>
    <w:basedOn w:val="9"/>
    <w:semiHidden/>
    <w:unhideWhenUsed/>
    <w:qFormat/>
    <w:uiPriority w:val="99"/>
    <w:rPr>
      <w:sz w:val="21"/>
      <w:szCs w:val="21"/>
    </w:rPr>
  </w:style>
  <w:style w:type="paragraph" w:styleId="12">
    <w:name w:val="List Paragraph"/>
    <w:basedOn w:val="1"/>
    <w:autoRedefine/>
    <w:qFormat/>
    <w:uiPriority w:val="34"/>
    <w:pPr>
      <w:ind w:firstLine="420" w:firstLineChars="200"/>
    </w:pPr>
  </w:style>
  <w:style w:type="character" w:customStyle="1" w:styleId="13">
    <w:name w:val="页眉 字符"/>
    <w:basedOn w:val="9"/>
    <w:link w:val="4"/>
    <w:autoRedefine/>
    <w:qFormat/>
    <w:uiPriority w:val="99"/>
    <w:rPr>
      <w:sz w:val="18"/>
      <w:szCs w:val="18"/>
    </w:rPr>
  </w:style>
  <w:style w:type="character" w:customStyle="1" w:styleId="14">
    <w:name w:val="页脚 字符"/>
    <w:basedOn w:val="9"/>
    <w:link w:val="3"/>
    <w:autoRedefine/>
    <w:qFormat/>
    <w:uiPriority w:val="99"/>
    <w:rPr>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9"/>
    <w:link w:val="2"/>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6"/>
    <w:semiHidden/>
    <w:qFormat/>
    <w:uiPriority w:val="99"/>
    <w:rPr>
      <w:rFonts w:asciiTheme="minorHAnsi" w:hAnsiTheme="minorHAnsi" w:eastAsiaTheme="minorEastAsia" w:cstheme="minorBidi"/>
      <w:b/>
      <w:bCs/>
      <w:kern w:val="2"/>
      <w:sz w:val="21"/>
      <w:szCs w:val="22"/>
    </w:rPr>
  </w:style>
  <w:style w:type="character" w:customStyle="1" w:styleId="18">
    <w:name w:val="gs_tkn"/>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2155</Words>
  <Characters>2402</Characters>
  <Lines>18</Lines>
  <Paragraphs>5</Paragraphs>
  <TotalTime>51</TotalTime>
  <ScaleCrop>false</ScaleCrop>
  <LinksUpToDate>false</LinksUpToDate>
  <CharactersWithSpaces>2467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2025-11-19T01:09:00Z</dcterms:created>
  <dc:creator>smbu</dc:creator>
  <cp:lastModifiedBy>daisy</cp:lastModifiedBy>
  <dcterms:modified xsi:type="dcterms:W3CDTF">2025-11-25T06:33:22Z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1D4CCE94A90E487F9AD9A57C3F9AA5A3_13</vt:lpwstr>
  </property>
  <property fmtid="{D5CDD505-2E9C-101B-9397-08002B2CF9AE}" pid="4" name="KSOTemplateDocerSaveRecord">
    <vt:lpwstr>eyJoZGlkIjoiMTMxNjA4Y2NiZDI4NTZiYTVhMjFmNzRlN2QzZDRjNjkiLCJ1c2VySWQiOiIxNTE2OTY3NTQyIn0=</vt:lpwstr>
  </property>
</Properties>
</file>