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190" w:rsidRPr="0093777A" w:rsidRDefault="00C50190" w:rsidP="00C50190">
      <w:pPr>
        <w:jc w:val="center"/>
        <w:rPr>
          <w:rFonts w:asciiTheme="majorEastAsia" w:eastAsiaTheme="majorEastAsia" w:hAnsiTheme="majorEastAsia" w:cs="仿宋_GB2312"/>
          <w:sz w:val="44"/>
          <w:szCs w:val="44"/>
        </w:rPr>
      </w:pPr>
      <w:r w:rsidRPr="0093777A">
        <w:rPr>
          <w:rFonts w:asciiTheme="majorEastAsia" w:eastAsiaTheme="majorEastAsia" w:hAnsiTheme="majorEastAsia" w:cs="仿宋_GB2312" w:hint="eastAsia"/>
          <w:sz w:val="44"/>
          <w:szCs w:val="44"/>
        </w:rPr>
        <w:t>阻车器技术参数</w:t>
      </w:r>
    </w:p>
    <w:p w:rsidR="00C50190" w:rsidRPr="0093777A" w:rsidRDefault="00C50190" w:rsidP="00C50190">
      <w:pPr>
        <w:spacing w:line="360" w:lineRule="auto"/>
        <w:jc w:val="left"/>
        <w:rPr>
          <w:rFonts w:asciiTheme="majorEastAsia" w:eastAsiaTheme="majorEastAsia" w:hAnsiTheme="majorEastAsia" w:cs="仿宋"/>
          <w:sz w:val="24"/>
        </w:rPr>
      </w:pPr>
      <w:r w:rsidRPr="0093777A">
        <w:rPr>
          <w:rFonts w:asciiTheme="majorEastAsia" w:eastAsiaTheme="majorEastAsia" w:hAnsiTheme="majorEastAsia" w:cs="仿宋" w:hint="eastAsia"/>
          <w:sz w:val="24"/>
        </w:rPr>
        <w:t>阻车路障由驱动结构、阻车钉、电池组(可充电)和遥控装置等组成，通过遥控装置控制路障进行展开、收拢操作。</w:t>
      </w:r>
    </w:p>
    <w:p w:rsidR="00C50190" w:rsidRPr="0093777A" w:rsidRDefault="00C50190" w:rsidP="00C50190">
      <w:pPr>
        <w:spacing w:line="360" w:lineRule="auto"/>
        <w:jc w:val="left"/>
        <w:rPr>
          <w:rFonts w:asciiTheme="majorEastAsia" w:eastAsiaTheme="majorEastAsia" w:hAnsiTheme="majorEastAsia" w:cs="仿宋"/>
          <w:sz w:val="24"/>
        </w:rPr>
      </w:pPr>
      <w:r w:rsidRPr="0093777A">
        <w:rPr>
          <w:rFonts w:asciiTheme="majorEastAsia" w:eastAsiaTheme="majorEastAsia" w:hAnsiTheme="majorEastAsia" w:cs="仿宋_GB2312" w:hint="eastAsia"/>
          <w:sz w:val="24"/>
        </w:rPr>
        <w:t>▲</w:t>
      </w:r>
      <w:r w:rsidRPr="0093777A">
        <w:rPr>
          <w:rFonts w:asciiTheme="majorEastAsia" w:eastAsiaTheme="majorEastAsia" w:hAnsiTheme="majorEastAsia" w:cs="仿宋" w:hint="eastAsia"/>
          <w:sz w:val="24"/>
        </w:rPr>
        <w:t>操作灵活性：展开时间：≤32s，收拢时间≤26s。</w:t>
      </w:r>
    </w:p>
    <w:p w:rsidR="00C50190" w:rsidRPr="0093777A" w:rsidRDefault="00C50190" w:rsidP="00C50190">
      <w:pPr>
        <w:spacing w:line="360" w:lineRule="auto"/>
        <w:jc w:val="left"/>
        <w:rPr>
          <w:rFonts w:asciiTheme="majorEastAsia" w:eastAsiaTheme="majorEastAsia" w:hAnsiTheme="majorEastAsia" w:cs="仿宋"/>
          <w:sz w:val="24"/>
        </w:rPr>
      </w:pPr>
      <w:r w:rsidRPr="0093777A">
        <w:rPr>
          <w:rFonts w:asciiTheme="majorEastAsia" w:eastAsiaTheme="majorEastAsia" w:hAnsiTheme="majorEastAsia" w:cs="仿宋" w:hint="eastAsia"/>
          <w:sz w:val="24"/>
        </w:rPr>
        <w:t>质量：≤9.6kg。</w:t>
      </w:r>
    </w:p>
    <w:p w:rsidR="00C50190" w:rsidRPr="0093777A" w:rsidRDefault="00C50190" w:rsidP="00C50190">
      <w:pPr>
        <w:spacing w:line="360" w:lineRule="auto"/>
        <w:jc w:val="left"/>
        <w:rPr>
          <w:rFonts w:asciiTheme="majorEastAsia" w:eastAsiaTheme="majorEastAsia" w:hAnsiTheme="majorEastAsia" w:cs="仿宋"/>
          <w:sz w:val="24"/>
        </w:rPr>
      </w:pPr>
      <w:r w:rsidRPr="0093777A">
        <w:rPr>
          <w:rFonts w:asciiTheme="majorEastAsia" w:eastAsiaTheme="majorEastAsia" w:hAnsiTheme="majorEastAsia" w:cs="仿宋" w:hint="eastAsia"/>
          <w:sz w:val="24"/>
        </w:rPr>
        <w:t>有效长度：≥7米。</w:t>
      </w:r>
    </w:p>
    <w:p w:rsidR="00C50190" w:rsidRPr="0093777A" w:rsidRDefault="00C50190" w:rsidP="00C50190">
      <w:pPr>
        <w:spacing w:line="360" w:lineRule="auto"/>
        <w:jc w:val="left"/>
        <w:rPr>
          <w:rFonts w:asciiTheme="majorEastAsia" w:eastAsiaTheme="majorEastAsia" w:hAnsiTheme="majorEastAsia" w:cs="仿宋"/>
          <w:sz w:val="24"/>
        </w:rPr>
      </w:pPr>
      <w:r w:rsidRPr="0093777A">
        <w:rPr>
          <w:rFonts w:asciiTheme="majorEastAsia" w:eastAsiaTheme="majorEastAsia" w:hAnsiTheme="majorEastAsia" w:cs="仿宋_GB2312" w:hint="eastAsia"/>
          <w:sz w:val="24"/>
        </w:rPr>
        <w:t>▲</w:t>
      </w:r>
      <w:r w:rsidRPr="0093777A">
        <w:rPr>
          <w:rFonts w:asciiTheme="majorEastAsia" w:eastAsiaTheme="majorEastAsia" w:hAnsiTheme="majorEastAsia" w:cs="仿宋" w:hint="eastAsia"/>
          <w:sz w:val="24"/>
        </w:rPr>
        <w:t>刺针有效长度：≥40mm。</w:t>
      </w:r>
    </w:p>
    <w:p w:rsidR="00C50190" w:rsidRPr="0093777A" w:rsidRDefault="00C50190" w:rsidP="00C50190">
      <w:pPr>
        <w:spacing w:line="360" w:lineRule="auto"/>
        <w:jc w:val="left"/>
        <w:rPr>
          <w:rFonts w:asciiTheme="majorEastAsia" w:eastAsiaTheme="majorEastAsia" w:hAnsiTheme="majorEastAsia" w:cs="仿宋"/>
          <w:sz w:val="24"/>
        </w:rPr>
      </w:pPr>
      <w:r w:rsidRPr="0093777A">
        <w:rPr>
          <w:rFonts w:asciiTheme="majorEastAsia" w:eastAsiaTheme="majorEastAsia" w:hAnsiTheme="majorEastAsia" w:cs="仿宋" w:hint="eastAsia"/>
          <w:sz w:val="24"/>
        </w:rPr>
        <w:t>刺针有效间距：＜74mm。</w:t>
      </w:r>
    </w:p>
    <w:p w:rsidR="00C50190" w:rsidRPr="0093777A" w:rsidRDefault="00C50190" w:rsidP="00C50190">
      <w:pPr>
        <w:spacing w:line="360" w:lineRule="auto"/>
        <w:jc w:val="left"/>
        <w:rPr>
          <w:rFonts w:asciiTheme="majorEastAsia" w:eastAsiaTheme="majorEastAsia" w:hAnsiTheme="majorEastAsia" w:cs="仿宋"/>
          <w:sz w:val="24"/>
        </w:rPr>
      </w:pPr>
      <w:r w:rsidRPr="0093777A">
        <w:rPr>
          <w:rFonts w:asciiTheme="majorEastAsia" w:eastAsiaTheme="majorEastAsia" w:hAnsiTheme="majorEastAsia" w:cs="仿宋_GB2312" w:hint="eastAsia"/>
          <w:sz w:val="24"/>
        </w:rPr>
        <w:t>▲</w:t>
      </w:r>
      <w:r w:rsidRPr="0093777A">
        <w:rPr>
          <w:rFonts w:asciiTheme="majorEastAsia" w:eastAsiaTheme="majorEastAsia" w:hAnsiTheme="majorEastAsia" w:cs="仿宋" w:hint="eastAsia"/>
          <w:sz w:val="24"/>
        </w:rPr>
        <w:t>刺针拔出力：在刺针与底座间刺针的施加拉力，使刺针拔出，测量结果＞45N。</w:t>
      </w:r>
    </w:p>
    <w:p w:rsidR="00C50190" w:rsidRPr="0093777A" w:rsidRDefault="00C50190" w:rsidP="00C50190">
      <w:pPr>
        <w:spacing w:line="360" w:lineRule="auto"/>
        <w:jc w:val="left"/>
        <w:rPr>
          <w:rFonts w:asciiTheme="majorEastAsia" w:eastAsiaTheme="majorEastAsia" w:hAnsiTheme="majorEastAsia" w:cs="仿宋"/>
          <w:sz w:val="24"/>
        </w:rPr>
      </w:pPr>
      <w:r w:rsidRPr="0093777A">
        <w:rPr>
          <w:rFonts w:asciiTheme="majorEastAsia" w:eastAsiaTheme="majorEastAsia" w:hAnsiTheme="majorEastAsia" w:cs="仿宋_GB2312" w:hint="eastAsia"/>
          <w:sz w:val="24"/>
        </w:rPr>
        <w:t>▲</w:t>
      </w:r>
      <w:r w:rsidRPr="0093777A">
        <w:rPr>
          <w:rFonts w:asciiTheme="majorEastAsia" w:eastAsiaTheme="majorEastAsia" w:hAnsiTheme="majorEastAsia" w:cs="仿宋" w:hint="eastAsia"/>
          <w:sz w:val="24"/>
        </w:rPr>
        <w:t>有效拦截时间：总质量为 1200Kg的试验汽车以20Km/h±5Km/h 的速度压过试验路障，轮胎完全失去充气压力时间不大于 42s。</w:t>
      </w:r>
    </w:p>
    <w:p w:rsidR="00C50190" w:rsidRPr="0093777A" w:rsidRDefault="00C50190" w:rsidP="00C50190">
      <w:pPr>
        <w:spacing w:line="360" w:lineRule="auto"/>
        <w:jc w:val="left"/>
        <w:rPr>
          <w:rFonts w:asciiTheme="majorEastAsia" w:eastAsiaTheme="majorEastAsia" w:hAnsiTheme="majorEastAsia" w:cs="仿宋"/>
          <w:sz w:val="24"/>
        </w:rPr>
      </w:pPr>
      <w:r w:rsidRPr="0093777A">
        <w:rPr>
          <w:rFonts w:asciiTheme="majorEastAsia" w:eastAsiaTheme="majorEastAsia" w:hAnsiTheme="majorEastAsia" w:cs="仿宋" w:hint="eastAsia"/>
          <w:sz w:val="24"/>
        </w:rPr>
        <w:t>气候环境适应性：在25℃±2℃保持 30min后升温至55℃±2℃保持 4h，在10min内进行外观检查和操作灵活性检查。</w:t>
      </w:r>
    </w:p>
    <w:p w:rsidR="00C50190" w:rsidRPr="0093777A" w:rsidRDefault="00C50190" w:rsidP="00C50190">
      <w:pPr>
        <w:spacing w:line="360" w:lineRule="auto"/>
        <w:jc w:val="left"/>
        <w:rPr>
          <w:rFonts w:asciiTheme="majorEastAsia" w:eastAsiaTheme="majorEastAsia" w:hAnsiTheme="majorEastAsia" w:cs="仿宋"/>
          <w:sz w:val="24"/>
        </w:rPr>
      </w:pPr>
      <w:r w:rsidRPr="0093777A">
        <w:rPr>
          <w:rFonts w:asciiTheme="majorEastAsia" w:eastAsiaTheme="majorEastAsia" w:hAnsiTheme="majorEastAsia" w:cs="仿宋"/>
          <w:sz w:val="24"/>
        </w:rPr>
        <w:t>在25℃</w:t>
      </w:r>
      <w:r w:rsidRPr="0093777A">
        <w:rPr>
          <w:rFonts w:asciiTheme="majorEastAsia" w:eastAsiaTheme="majorEastAsia" w:hAnsiTheme="majorEastAsia" w:cs="仿宋" w:hint="eastAsia"/>
          <w:sz w:val="24"/>
        </w:rPr>
        <w:t>±</w:t>
      </w:r>
      <w:r w:rsidRPr="0093777A">
        <w:rPr>
          <w:rFonts w:asciiTheme="majorEastAsia" w:eastAsiaTheme="majorEastAsia" w:hAnsiTheme="majorEastAsia" w:cs="仿宋"/>
          <w:sz w:val="24"/>
        </w:rPr>
        <w:t>2℃保持30min后降温至-40℃</w:t>
      </w:r>
      <w:r w:rsidRPr="0093777A">
        <w:rPr>
          <w:rFonts w:asciiTheme="majorEastAsia" w:eastAsiaTheme="majorEastAsia" w:hAnsiTheme="majorEastAsia" w:cs="仿宋" w:hint="eastAsia"/>
          <w:sz w:val="24"/>
        </w:rPr>
        <w:t>±</w:t>
      </w:r>
      <w:r w:rsidRPr="0093777A">
        <w:rPr>
          <w:rFonts w:asciiTheme="majorEastAsia" w:eastAsiaTheme="majorEastAsia" w:hAnsiTheme="majorEastAsia" w:cs="仿宋"/>
          <w:sz w:val="24"/>
        </w:rPr>
        <w:t>3℃保持 4h，在10min内进行外观检查和操作灵活性检查。</w:t>
      </w:r>
    </w:p>
    <w:p w:rsidR="00C50190" w:rsidRPr="0093777A" w:rsidRDefault="00C50190" w:rsidP="00C50190">
      <w:pPr>
        <w:spacing w:line="360" w:lineRule="auto"/>
        <w:jc w:val="left"/>
        <w:rPr>
          <w:rFonts w:asciiTheme="majorEastAsia" w:eastAsiaTheme="majorEastAsia" w:hAnsiTheme="majorEastAsia" w:cs="仿宋"/>
          <w:sz w:val="24"/>
        </w:rPr>
      </w:pPr>
      <w:r w:rsidRPr="0093777A">
        <w:rPr>
          <w:rFonts w:asciiTheme="majorEastAsia" w:eastAsiaTheme="majorEastAsia" w:hAnsiTheme="majorEastAsia" w:cs="仿宋" w:hint="eastAsia"/>
          <w:sz w:val="24"/>
        </w:rPr>
        <w:t>执行标准：GA/T 421-2003《穿刺放气式路障》</w:t>
      </w:r>
    </w:p>
    <w:p w:rsidR="00C50190" w:rsidRPr="0093777A" w:rsidRDefault="00C50190" w:rsidP="00C50190">
      <w:pPr>
        <w:rPr>
          <w:rFonts w:asciiTheme="majorEastAsia" w:eastAsiaTheme="majorEastAsia" w:hAnsiTheme="majorEastAsia"/>
        </w:rPr>
      </w:pPr>
      <w:r w:rsidRPr="0093777A">
        <w:rPr>
          <w:rFonts w:asciiTheme="majorEastAsia" w:eastAsiaTheme="majorEastAsia" w:hAnsiTheme="majorEastAsia" w:cs="仿宋_GB2312" w:hint="eastAsia"/>
          <w:sz w:val="24"/>
        </w:rPr>
        <w:t>▲提供公安部产品质量检测中心出具的检测合格的检测报告复印件加盖制造商公章。</w:t>
      </w:r>
    </w:p>
    <w:p w:rsidR="00C82FA6" w:rsidRPr="00C50190" w:rsidRDefault="00C82FA6"/>
    <w:sectPr w:rsidR="00C82FA6" w:rsidRPr="00C50190" w:rsidSect="00C82FA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DE1" w:rsidRDefault="00761DE1" w:rsidP="00C50190">
      <w:r>
        <w:separator/>
      </w:r>
    </w:p>
  </w:endnote>
  <w:endnote w:type="continuationSeparator" w:id="0">
    <w:p w:rsidR="00761DE1" w:rsidRDefault="00761DE1" w:rsidP="00C501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DE1" w:rsidRDefault="00761DE1" w:rsidP="00C50190">
      <w:r>
        <w:separator/>
      </w:r>
    </w:p>
  </w:footnote>
  <w:footnote w:type="continuationSeparator" w:id="0">
    <w:p w:rsidR="00761DE1" w:rsidRDefault="00761DE1" w:rsidP="00C501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50190"/>
    <w:rsid w:val="00761DE1"/>
    <w:rsid w:val="00C50190"/>
    <w:rsid w:val="00C82F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19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5019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50190"/>
    <w:rPr>
      <w:sz w:val="18"/>
      <w:szCs w:val="18"/>
    </w:rPr>
  </w:style>
  <w:style w:type="paragraph" w:styleId="a4">
    <w:name w:val="footer"/>
    <w:basedOn w:val="a"/>
    <w:link w:val="Char0"/>
    <w:uiPriority w:val="99"/>
    <w:semiHidden/>
    <w:unhideWhenUsed/>
    <w:rsid w:val="00C5019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5019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364</Characters>
  <Application>Microsoft Office Word</Application>
  <DocSecurity>0</DocSecurity>
  <Lines>3</Lines>
  <Paragraphs>1</Paragraphs>
  <ScaleCrop>false</ScaleCrop>
  <Company>Sky123.Org</Company>
  <LinksUpToDate>false</LinksUpToDate>
  <CharactersWithSpaces>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꣰ݵ꣰ݵ_x001b_</dc:creator>
  <cp:keywords/>
  <dc:description/>
  <cp:lastModifiedBy>꣰ݵ꣰ݵ_x001b_</cp:lastModifiedBy>
  <cp:revision>2</cp:revision>
  <dcterms:created xsi:type="dcterms:W3CDTF">2025-07-22T01:57:00Z</dcterms:created>
  <dcterms:modified xsi:type="dcterms:W3CDTF">2025-07-22T01:57:00Z</dcterms:modified>
</cp:coreProperties>
</file>