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68F99">
      <w:pPr>
        <w:widowControl/>
        <w:jc w:val="center"/>
        <w:rPr>
          <w:rFonts w:hint="eastAsia" w:ascii="黑体" w:hAnsi="黑体" w:eastAsia="黑体" w:cs="Times New Roman"/>
          <w:color w:val="000000" w:themeColor="text1"/>
          <w:spacing w:val="40"/>
          <w:sz w:val="36"/>
          <w:szCs w:val="36"/>
          <w14:textFill>
            <w14:solidFill>
              <w14:schemeClr w14:val="tx1"/>
            </w14:solidFill>
          </w14:textFill>
        </w:rPr>
      </w:pPr>
      <w:r>
        <w:rPr>
          <w:rFonts w:hint="eastAsia" w:ascii="黑体" w:hAnsi="黑体" w:eastAsia="黑体" w:cs="Times New Roman"/>
          <w:color w:val="000000" w:themeColor="text1"/>
          <w:spacing w:val="40"/>
          <w:sz w:val="36"/>
          <w:szCs w:val="36"/>
          <w14:textFill>
            <w14:solidFill>
              <w14:schemeClr w14:val="tx1"/>
            </w14:solidFill>
          </w14:textFill>
        </w:rPr>
        <w:t>深圳市第七高级中学</w:t>
      </w:r>
    </w:p>
    <w:p w14:paraId="77505DC2">
      <w:pPr>
        <w:widowControl/>
        <w:jc w:val="center"/>
        <w:rPr>
          <w:rFonts w:hint="eastAsia" w:ascii="黑体" w:hAnsi="黑体" w:eastAsia="黑体" w:cs="Times New Roman"/>
          <w:color w:val="000000" w:themeColor="text1"/>
          <w:spacing w:val="40"/>
          <w:sz w:val="36"/>
          <w:szCs w:val="36"/>
          <w14:textFill>
            <w14:solidFill>
              <w14:schemeClr w14:val="tx1"/>
            </w14:solidFill>
          </w14:textFill>
        </w:rPr>
      </w:pPr>
      <w:r>
        <w:rPr>
          <w:rFonts w:hint="eastAsia" w:ascii="黑体" w:hAnsi="黑体" w:eastAsia="黑体" w:cs="Times New Roman"/>
          <w:color w:val="000000" w:themeColor="text1"/>
          <w:spacing w:val="40"/>
          <w:sz w:val="36"/>
          <w:szCs w:val="36"/>
          <w14:textFill>
            <w14:solidFill>
              <w14:schemeClr w14:val="tx1"/>
            </w14:solidFill>
          </w14:textFill>
        </w:rPr>
        <w:t>采购</w:t>
      </w:r>
      <w:r>
        <w:rPr>
          <w:rFonts w:hint="eastAsia" w:ascii="黑体" w:hAnsi="黑体" w:eastAsia="黑体" w:cs="Times New Roman"/>
          <w:color w:val="000000" w:themeColor="text1"/>
          <w:spacing w:val="40"/>
          <w:sz w:val="36"/>
          <w:szCs w:val="36"/>
          <w14:textFill>
            <w14:solidFill>
              <w14:schemeClr w14:val="tx1"/>
            </w14:solidFill>
          </w14:textFill>
        </w:rPr>
        <w:t>自助借还书机项目</w:t>
      </w:r>
      <w:r>
        <w:rPr>
          <w:rFonts w:hint="eastAsia" w:ascii="黑体" w:hAnsi="黑体" w:eastAsia="黑体" w:cs="Times New Roman"/>
          <w:color w:val="000000" w:themeColor="text1"/>
          <w:spacing w:val="40"/>
          <w:sz w:val="36"/>
          <w:szCs w:val="36"/>
          <w14:textFill>
            <w14:solidFill>
              <w14:schemeClr w14:val="tx1"/>
            </w14:solidFill>
          </w14:textFill>
        </w:rPr>
        <w:t>需求书</w:t>
      </w:r>
    </w:p>
    <w:p w14:paraId="4DDF9A01">
      <w:pPr>
        <w:pStyle w:val="2"/>
        <w:rPr>
          <w:color w:val="000000" w:themeColor="text1"/>
          <w14:textFill>
            <w14:solidFill>
              <w14:schemeClr w14:val="tx1"/>
            </w14:solidFill>
          </w14:textFill>
        </w:rPr>
      </w:pPr>
      <w:bookmarkStart w:id="0" w:name="_GoBack"/>
      <w:bookmarkEnd w:id="0"/>
    </w:p>
    <w:p w14:paraId="37DB82EE">
      <w:pPr>
        <w:spacing w:line="360" w:lineRule="auto"/>
        <w:jc w:val="left"/>
        <w:rPr>
          <w:rFonts w:hint="eastAsia"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一、供应商资格条件：</w:t>
      </w:r>
    </w:p>
    <w:p w14:paraId="6CC512DC">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1.具有独立法人资格或是具有独立承担民事责任能力的其它组织。</w:t>
      </w:r>
    </w:p>
    <w:p w14:paraId="50D91B21">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2.参与本项目投标前三年内，在经营活动中没有重大违法记录。</w:t>
      </w:r>
    </w:p>
    <w:p w14:paraId="5B01F875">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3.未被列入失信被执行人、重大税收违法案件当事人名单、政府采购严重违法失信行为记录名单。</w:t>
      </w:r>
    </w:p>
    <w:p w14:paraId="1327AF6D">
      <w:pPr>
        <w:pStyle w:val="9"/>
        <w:jc w:val="left"/>
        <w:rPr>
          <w:rFonts w:hint="eastAsia" w:ascii="黑体" w:hAnsi="黑体" w:cs="Times New Roman"/>
          <w:color w:val="000000" w:themeColor="text1"/>
          <w:szCs w:val="32"/>
          <w14:textFill>
            <w14:solidFill>
              <w14:schemeClr w14:val="tx1"/>
            </w14:solidFill>
          </w14:textFill>
        </w:rPr>
      </w:pPr>
      <w:r>
        <w:rPr>
          <w:rFonts w:hint="eastAsia" w:ascii="黑体" w:hAnsi="黑体" w:cs="Times New Roman"/>
          <w:color w:val="000000" w:themeColor="text1"/>
          <w:szCs w:val="32"/>
          <w14:textFill>
            <w14:solidFill>
              <w14:schemeClr w14:val="tx1"/>
            </w14:solidFill>
          </w14:textFill>
        </w:rPr>
        <w:t>二、项目概况：</w:t>
      </w:r>
    </w:p>
    <w:p w14:paraId="036DC008">
      <w:pPr>
        <w:spacing w:line="500" w:lineRule="exact"/>
        <w:ind w:firstLine="600" w:firstLineChars="200"/>
        <w:rPr>
          <w:rFonts w:hint="eastAsia" w:ascii="仿宋" w:hAnsi="仿宋" w:eastAsia="仿宋" w:cs="Times New Roman"/>
          <w:bCs/>
          <w:color w:val="000000" w:themeColor="text1"/>
          <w:sz w:val="30"/>
          <w:szCs w:val="30"/>
          <w:u w:val="single"/>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1.项目名称：</w:t>
      </w:r>
      <w:r>
        <w:rPr>
          <w:rFonts w:hint="eastAsia" w:ascii="仿宋" w:hAnsi="仿宋" w:eastAsia="仿宋" w:cs="Times New Roman"/>
          <w:bCs/>
          <w:color w:val="000000" w:themeColor="text1"/>
          <w:sz w:val="30"/>
          <w:szCs w:val="30"/>
          <w:u w:val="single"/>
          <w14:textFill>
            <w14:solidFill>
              <w14:schemeClr w14:val="tx1"/>
            </w14:solidFill>
          </w14:textFill>
        </w:rPr>
        <w:t xml:space="preserve"> </w:t>
      </w:r>
      <w:r>
        <w:rPr>
          <w:rFonts w:hint="eastAsia" w:ascii="仿宋" w:hAnsi="仿宋" w:eastAsia="仿宋" w:cs="Times New Roman"/>
          <w:bCs/>
          <w:color w:val="000000" w:themeColor="text1"/>
          <w:sz w:val="30"/>
          <w:szCs w:val="30"/>
          <w:u w:val="single"/>
          <w14:textFill>
            <w14:solidFill>
              <w14:schemeClr w14:val="tx1"/>
            </w14:solidFill>
          </w14:textFill>
        </w:rPr>
        <w:t>深圳市第七高级中学</w:t>
      </w:r>
      <w:r>
        <w:rPr>
          <w:rFonts w:ascii="仿宋" w:hAnsi="仿宋" w:eastAsia="仿宋" w:cs="Times New Roman"/>
          <w:bCs/>
          <w:color w:val="000000" w:themeColor="text1"/>
          <w:sz w:val="30"/>
          <w:szCs w:val="30"/>
          <w:u w:val="single"/>
          <w14:textFill>
            <w14:solidFill>
              <w14:schemeClr w14:val="tx1"/>
            </w14:solidFill>
          </w14:textFill>
        </w:rPr>
        <w:t>采购自助借还</w:t>
      </w:r>
      <w:r>
        <w:rPr>
          <w:rFonts w:hint="eastAsia" w:ascii="仿宋" w:hAnsi="仿宋" w:eastAsia="仿宋" w:cs="Times New Roman"/>
          <w:bCs/>
          <w:color w:val="000000" w:themeColor="text1"/>
          <w:sz w:val="30"/>
          <w:szCs w:val="30"/>
          <w:u w:val="single"/>
          <w14:textFill>
            <w14:solidFill>
              <w14:schemeClr w14:val="tx1"/>
            </w14:solidFill>
          </w14:textFill>
        </w:rPr>
        <w:t>书</w:t>
      </w:r>
      <w:r>
        <w:rPr>
          <w:rFonts w:ascii="仿宋" w:hAnsi="仿宋" w:eastAsia="仿宋" w:cs="Times New Roman"/>
          <w:bCs/>
          <w:color w:val="000000" w:themeColor="text1"/>
          <w:sz w:val="30"/>
          <w:szCs w:val="30"/>
          <w:u w:val="single"/>
          <w14:textFill>
            <w14:solidFill>
              <w14:schemeClr w14:val="tx1"/>
            </w14:solidFill>
          </w14:textFill>
        </w:rPr>
        <w:t>机项目</w:t>
      </w:r>
      <w:r>
        <w:rPr>
          <w:rFonts w:hint="eastAsia" w:ascii="仿宋" w:hAnsi="仿宋" w:eastAsia="仿宋" w:cs="Times New Roman"/>
          <w:bCs/>
          <w:color w:val="000000" w:themeColor="text1"/>
          <w:sz w:val="30"/>
          <w:szCs w:val="30"/>
          <w:u w:val="single"/>
          <w14:textFill>
            <w14:solidFill>
              <w14:schemeClr w14:val="tx1"/>
            </w14:solidFill>
          </w14:textFill>
        </w:rPr>
        <w:t>。</w:t>
      </w:r>
    </w:p>
    <w:p w14:paraId="48479711">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2.经费预算：人民币</w:t>
      </w:r>
      <w:r>
        <w:rPr>
          <w:rFonts w:hint="eastAsia" w:ascii="仿宋" w:hAnsi="仿宋" w:eastAsia="仿宋" w:cs="Times New Roman"/>
          <w:bCs/>
          <w:color w:val="000000" w:themeColor="text1"/>
          <w:sz w:val="30"/>
          <w:szCs w:val="30"/>
          <w:u w:val="single"/>
          <w14:textFill>
            <w14:solidFill>
              <w14:schemeClr w14:val="tx1"/>
            </w14:solidFill>
          </w14:textFill>
        </w:rPr>
        <w:t>80000.00元</w:t>
      </w:r>
      <w:r>
        <w:rPr>
          <w:rFonts w:hint="eastAsia" w:ascii="仿宋" w:hAnsi="仿宋" w:eastAsia="仿宋" w:cs="Times New Roman"/>
          <w:bCs/>
          <w:color w:val="000000" w:themeColor="text1"/>
          <w:sz w:val="30"/>
          <w:szCs w:val="30"/>
          <w14:textFill>
            <w14:solidFill>
              <w14:schemeClr w14:val="tx1"/>
            </w14:solidFill>
          </w14:textFill>
        </w:rPr>
        <w:t>整（大写：人民币</w:t>
      </w:r>
      <w:r>
        <w:rPr>
          <w:rFonts w:hint="eastAsia" w:ascii="仿宋" w:hAnsi="仿宋" w:eastAsia="仿宋" w:cs="Times New Roman"/>
          <w:bCs/>
          <w:color w:val="000000" w:themeColor="text1"/>
          <w:sz w:val="30"/>
          <w:szCs w:val="30"/>
          <w14:textFill>
            <w14:solidFill>
              <w14:schemeClr w14:val="tx1"/>
            </w14:solidFill>
          </w14:textFill>
        </w:rPr>
        <w:t>捌万元</w:t>
      </w:r>
      <w:r>
        <w:rPr>
          <w:rFonts w:hint="eastAsia" w:ascii="仿宋" w:hAnsi="仿宋" w:eastAsia="仿宋" w:cs="Times New Roman"/>
          <w:bCs/>
          <w:color w:val="000000" w:themeColor="text1"/>
          <w:sz w:val="30"/>
          <w:szCs w:val="30"/>
          <w14:textFill>
            <w14:solidFill>
              <w14:schemeClr w14:val="tx1"/>
            </w14:solidFill>
          </w14:textFill>
        </w:rPr>
        <w:t>整）</w:t>
      </w:r>
    </w:p>
    <w:p w14:paraId="3B22AC86">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3.预算及报价费用包括</w:t>
      </w:r>
      <w:r>
        <w:rPr>
          <w:rFonts w:ascii="仿宋" w:hAnsi="仿宋" w:eastAsia="仿宋" w:cs="Times New Roman"/>
          <w:bCs/>
          <w:color w:val="000000" w:themeColor="text1"/>
          <w:sz w:val="30"/>
          <w:szCs w:val="30"/>
          <w:u w:val="single"/>
          <w14:textFill>
            <w14:solidFill>
              <w14:schemeClr w14:val="tx1"/>
            </w14:solidFill>
          </w14:textFill>
        </w:rPr>
        <w:t>设备费、运输费、装卸费、保险费、技术培训费、设备安装费、调试费、售后服务费、国家规定的各项税费等全部费用</w:t>
      </w:r>
      <w:r>
        <w:rPr>
          <w:rFonts w:hint="eastAsia" w:ascii="仿宋" w:hAnsi="仿宋" w:eastAsia="仿宋" w:cs="Times New Roman"/>
          <w:bCs/>
          <w:color w:val="000000" w:themeColor="text1"/>
          <w:sz w:val="30"/>
          <w:szCs w:val="30"/>
          <w14:textFill>
            <w14:solidFill>
              <w14:schemeClr w14:val="tx1"/>
            </w14:solidFill>
          </w14:textFill>
        </w:rPr>
        <w:t>。</w:t>
      </w:r>
      <w:r>
        <w:rPr>
          <w:rFonts w:hint="eastAsia" w:ascii="仿宋" w:hAnsi="仿宋" w:eastAsia="仿宋" w:cs="Times New Roman"/>
          <w:bCs/>
          <w:color w:val="000000" w:themeColor="text1"/>
          <w:sz w:val="30"/>
          <w:szCs w:val="30"/>
          <w14:textFill>
            <w14:solidFill>
              <w14:schemeClr w14:val="tx1"/>
            </w14:solidFill>
          </w14:textFill>
        </w:rPr>
        <w:t xml:space="preserve"> </w:t>
      </w:r>
    </w:p>
    <w:p w14:paraId="1C529001">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4.项目简介与总体目的：</w:t>
      </w:r>
    </w:p>
    <w:p w14:paraId="22A2CBCC">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ascii="仿宋" w:hAnsi="仿宋" w:eastAsia="仿宋" w:cs="Times New Roman"/>
          <w:bCs/>
          <w:color w:val="000000" w:themeColor="text1"/>
          <w:sz w:val="30"/>
          <w:szCs w:val="30"/>
          <w14:textFill>
            <w14:solidFill>
              <w14:schemeClr w14:val="tx1"/>
            </w14:solidFill>
          </w14:textFill>
        </w:rPr>
        <w:t>为提高图书馆借还书效率、优化服务质量，我校拟采购自助借还书机一台</w:t>
      </w:r>
      <w:r>
        <w:rPr>
          <w:rFonts w:hint="eastAsia" w:ascii="仿宋" w:hAnsi="仿宋" w:eastAsia="仿宋" w:cs="Times New Roman"/>
          <w:bCs/>
          <w:color w:val="000000" w:themeColor="text1"/>
          <w:sz w:val="30"/>
          <w:szCs w:val="30"/>
          <w14:textFill>
            <w14:solidFill>
              <w14:schemeClr w14:val="tx1"/>
            </w14:solidFill>
          </w14:textFill>
        </w:rPr>
        <w:t>及对应的软件接口。</w:t>
      </w:r>
    </w:p>
    <w:p w14:paraId="1F528011">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ascii="仿宋" w:hAnsi="仿宋" w:eastAsia="仿宋" w:cs="Times New Roman"/>
          <w:bCs/>
          <w:color w:val="000000" w:themeColor="text1"/>
          <w:sz w:val="30"/>
          <w:szCs w:val="30"/>
          <w14:textFill>
            <w14:solidFill>
              <w14:schemeClr w14:val="tx1"/>
            </w14:solidFill>
          </w14:textFill>
        </w:rPr>
        <w:t>要求提供的自助借还书机须支持 13.56 MHz 高频（HF）RFID 射频识别技术，并完全兼容 ISO/IEC 15693 国际通信协议标准，能够准确读写本馆现有图书已部署的高频 RFID 标签，确保与现有图书馆管理系统（ILAS系统）及 RFID 基础设施无缝对接；实现学生及教职工通过刷一卡通能够在图书馆实现自助借书、自助还书、续借功能。</w:t>
      </w:r>
    </w:p>
    <w:p w14:paraId="7EC64A6E">
      <w:pPr>
        <w:numPr>
          <w:ilvl w:val="0"/>
          <w:numId w:val="1"/>
        </w:numPr>
        <w:spacing w:line="360" w:lineRule="auto"/>
        <w:jc w:val="left"/>
        <w:rPr>
          <w:rFonts w:hint="eastAsia"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采购内容及要求</w:t>
      </w:r>
    </w:p>
    <w:tbl>
      <w:tblPr>
        <w:tblStyle w:val="11"/>
        <w:tblW w:w="5000" w:type="pct"/>
        <w:tblInd w:w="0" w:type="dxa"/>
        <w:tblLayout w:type="autofit"/>
        <w:tblCellMar>
          <w:top w:w="0" w:type="dxa"/>
          <w:left w:w="108" w:type="dxa"/>
          <w:bottom w:w="0" w:type="dxa"/>
          <w:right w:w="108" w:type="dxa"/>
        </w:tblCellMar>
      </w:tblPr>
      <w:tblGrid>
        <w:gridCol w:w="675"/>
        <w:gridCol w:w="1277"/>
        <w:gridCol w:w="709"/>
        <w:gridCol w:w="566"/>
        <w:gridCol w:w="6400"/>
      </w:tblGrid>
      <w:tr w14:paraId="2F8F98CC">
        <w:tblPrEx>
          <w:tblCellMar>
            <w:top w:w="0" w:type="dxa"/>
            <w:left w:w="108" w:type="dxa"/>
            <w:bottom w:w="0" w:type="dxa"/>
            <w:right w:w="108" w:type="dxa"/>
          </w:tblCellMar>
        </w:tblPrEx>
        <w:trPr>
          <w:trHeight w:val="550" w:hRule="atLeast"/>
        </w:trPr>
        <w:tc>
          <w:tcPr>
            <w:tcW w:w="351" w:type="pct"/>
            <w:tcBorders>
              <w:top w:val="single" w:color="000000" w:sz="4" w:space="0"/>
              <w:left w:val="single" w:color="000000" w:sz="4" w:space="0"/>
              <w:bottom w:val="single" w:color="000000" w:sz="4" w:space="0"/>
              <w:right w:val="single" w:color="000000" w:sz="4" w:space="0"/>
            </w:tcBorders>
            <w:vAlign w:val="center"/>
          </w:tcPr>
          <w:p w14:paraId="1C297A48">
            <w:pPr>
              <w:jc w:val="center"/>
              <w:rPr>
                <w:rFonts w:hint="eastAsia"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序号</w:t>
            </w:r>
          </w:p>
        </w:tc>
        <w:tc>
          <w:tcPr>
            <w:tcW w:w="663" w:type="pct"/>
            <w:tcBorders>
              <w:top w:val="single" w:color="000000" w:sz="4" w:space="0"/>
              <w:left w:val="single" w:color="000000" w:sz="4" w:space="0"/>
              <w:bottom w:val="single" w:color="000000" w:sz="4" w:space="0"/>
              <w:right w:val="single" w:color="000000" w:sz="4" w:space="0"/>
            </w:tcBorders>
            <w:vAlign w:val="center"/>
          </w:tcPr>
          <w:p w14:paraId="7E44D5FF">
            <w:pPr>
              <w:jc w:val="center"/>
              <w:rPr>
                <w:rFonts w:hint="eastAsia"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产品名称</w:t>
            </w:r>
          </w:p>
        </w:tc>
        <w:tc>
          <w:tcPr>
            <w:tcW w:w="368" w:type="pct"/>
            <w:tcBorders>
              <w:top w:val="single" w:color="000000" w:sz="4" w:space="0"/>
              <w:left w:val="single" w:color="000000" w:sz="4" w:space="0"/>
              <w:bottom w:val="single" w:color="000000" w:sz="4" w:space="0"/>
              <w:right w:val="single" w:color="000000" w:sz="4" w:space="0"/>
            </w:tcBorders>
            <w:vAlign w:val="center"/>
          </w:tcPr>
          <w:p w14:paraId="31D2A088">
            <w:pPr>
              <w:jc w:val="center"/>
              <w:rPr>
                <w:rFonts w:hint="eastAsia"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数量</w:t>
            </w:r>
          </w:p>
        </w:tc>
        <w:tc>
          <w:tcPr>
            <w:tcW w:w="294" w:type="pct"/>
            <w:tcBorders>
              <w:top w:val="single" w:color="000000" w:sz="4" w:space="0"/>
              <w:left w:val="single" w:color="000000" w:sz="4" w:space="0"/>
              <w:bottom w:val="single" w:color="000000" w:sz="4" w:space="0"/>
              <w:right w:val="single" w:color="000000" w:sz="4" w:space="0"/>
            </w:tcBorders>
            <w:vAlign w:val="center"/>
          </w:tcPr>
          <w:p w14:paraId="786555D9">
            <w:pPr>
              <w:jc w:val="center"/>
              <w:rPr>
                <w:rFonts w:hint="eastAsia"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单位</w:t>
            </w:r>
          </w:p>
        </w:tc>
        <w:tc>
          <w:tcPr>
            <w:tcW w:w="3324" w:type="pct"/>
            <w:tcBorders>
              <w:top w:val="single" w:color="000000" w:sz="4" w:space="0"/>
              <w:left w:val="single" w:color="000000" w:sz="4" w:space="0"/>
              <w:bottom w:val="single" w:color="auto" w:sz="4" w:space="0"/>
              <w:right w:val="single" w:color="000000" w:sz="4" w:space="0"/>
            </w:tcBorders>
            <w:vAlign w:val="center"/>
          </w:tcPr>
          <w:p w14:paraId="6FE14136">
            <w:pPr>
              <w:jc w:val="center"/>
              <w:rPr>
                <w:rFonts w:hint="eastAsia" w:ascii="仿宋" w:hAnsi="仿宋" w:eastAsia="仿宋"/>
                <w:b/>
                <w:bCs/>
                <w:color w:val="000000" w:themeColor="text1"/>
                <w:sz w:val="24"/>
                <w:szCs w:val="24"/>
                <w14:textFill>
                  <w14:solidFill>
                    <w14:schemeClr w14:val="tx1"/>
                  </w14:solidFill>
                </w14:textFill>
              </w:rPr>
            </w:pPr>
            <w:r>
              <w:rPr>
                <w:rFonts w:ascii="仿宋" w:hAnsi="仿宋" w:eastAsia="仿宋"/>
                <w:b/>
                <w:bCs/>
                <w:color w:val="000000" w:themeColor="text1"/>
                <w:sz w:val="24"/>
                <w:szCs w:val="24"/>
                <w14:textFill>
                  <w14:solidFill>
                    <w14:schemeClr w14:val="tx1"/>
                  </w14:solidFill>
                </w14:textFill>
              </w:rPr>
              <w:t>技术参数</w:t>
            </w:r>
            <w:r>
              <w:rPr>
                <w:rFonts w:hint="eastAsia" w:ascii="仿宋" w:hAnsi="仿宋" w:eastAsia="仿宋"/>
                <w:b/>
                <w:bCs/>
                <w:color w:val="000000" w:themeColor="text1"/>
                <w:sz w:val="24"/>
                <w:szCs w:val="24"/>
                <w14:textFill>
                  <w14:solidFill>
                    <w14:schemeClr w14:val="tx1"/>
                  </w14:solidFill>
                </w14:textFill>
              </w:rPr>
              <w:t>要求</w:t>
            </w:r>
          </w:p>
        </w:tc>
      </w:tr>
      <w:tr w14:paraId="20C54EE4">
        <w:tblPrEx>
          <w:tblCellMar>
            <w:top w:w="0" w:type="dxa"/>
            <w:left w:w="108" w:type="dxa"/>
            <w:bottom w:w="0" w:type="dxa"/>
            <w:right w:w="108" w:type="dxa"/>
          </w:tblCellMar>
        </w:tblPrEx>
        <w:trPr>
          <w:trHeight w:val="443" w:hRule="atLeast"/>
        </w:trPr>
        <w:tc>
          <w:tcPr>
            <w:tcW w:w="351" w:type="pct"/>
            <w:tcBorders>
              <w:top w:val="single" w:color="000000" w:sz="4" w:space="0"/>
              <w:left w:val="single" w:color="000000" w:sz="4" w:space="0"/>
              <w:bottom w:val="single" w:color="000000" w:sz="4" w:space="0"/>
              <w:right w:val="single" w:color="000000" w:sz="4" w:space="0"/>
            </w:tcBorders>
            <w:vAlign w:val="center"/>
          </w:tcPr>
          <w:p w14:paraId="32E59E68">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663" w:type="pct"/>
            <w:tcBorders>
              <w:top w:val="single" w:color="000000" w:sz="4" w:space="0"/>
              <w:left w:val="single" w:color="000000" w:sz="4" w:space="0"/>
              <w:bottom w:val="single" w:color="000000" w:sz="4" w:space="0"/>
              <w:right w:val="single" w:color="000000" w:sz="4" w:space="0"/>
            </w:tcBorders>
            <w:vAlign w:val="center"/>
          </w:tcPr>
          <w:p w14:paraId="2DFABC85">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自助借还书机</w:t>
            </w:r>
          </w:p>
        </w:tc>
        <w:tc>
          <w:tcPr>
            <w:tcW w:w="368" w:type="pct"/>
            <w:tcBorders>
              <w:top w:val="single" w:color="000000" w:sz="4" w:space="0"/>
              <w:left w:val="single" w:color="000000" w:sz="4" w:space="0"/>
              <w:bottom w:val="single" w:color="000000" w:sz="4" w:space="0"/>
              <w:right w:val="single" w:color="000000" w:sz="4" w:space="0"/>
            </w:tcBorders>
            <w:vAlign w:val="center"/>
          </w:tcPr>
          <w:p w14:paraId="071F11C3">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1 </w:t>
            </w:r>
          </w:p>
        </w:tc>
        <w:tc>
          <w:tcPr>
            <w:tcW w:w="294" w:type="pct"/>
            <w:tcBorders>
              <w:top w:val="single" w:color="000000" w:sz="4" w:space="0"/>
              <w:left w:val="single" w:color="000000" w:sz="4" w:space="0"/>
              <w:bottom w:val="single" w:color="000000" w:sz="4" w:space="0"/>
              <w:right w:val="single" w:color="auto" w:sz="4" w:space="0"/>
            </w:tcBorders>
            <w:vAlign w:val="center"/>
          </w:tcPr>
          <w:p w14:paraId="4DF91857">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台</w:t>
            </w:r>
          </w:p>
        </w:tc>
        <w:tc>
          <w:tcPr>
            <w:tcW w:w="3324" w:type="pct"/>
            <w:tcBorders>
              <w:top w:val="single" w:color="auto" w:sz="4" w:space="0"/>
              <w:left w:val="single" w:color="auto" w:sz="4" w:space="0"/>
              <w:bottom w:val="single" w:color="auto" w:sz="4" w:space="0"/>
              <w:right w:val="single" w:color="auto" w:sz="4" w:space="0"/>
            </w:tcBorders>
            <w:vAlign w:val="center"/>
          </w:tcPr>
          <w:p w14:paraId="0E4839A0">
            <w:pP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1.支持账号密码登录、刷读者证登录、扫码登录、人脸识别，后台可选择登录方式，每个方式都支持设置是否免密。</w:t>
            </w:r>
          </w:p>
          <w:p w14:paraId="03D77350">
            <w:pP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2.支持读者绑定人脸信息，可以实现读者无卡登录、借书；支持读者删除已绑定的人脸信息；登录、注册时提供活体检测，验证用户是否为本人真实活体操作；支持管理员在设备后台批量上传读者的人脸信息。</w:t>
            </w:r>
          </w:p>
          <w:p w14:paraId="7B6F82C6">
            <w:pP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3.具备对图书标签防盗位进行复位或置位的功能，可以一次借还多本书刊。</w:t>
            </w:r>
          </w:p>
          <w:p w14:paraId="7FF8E767">
            <w:pP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4.支持读者输入个人信息后注册电子证，后台可以选择是否开启办证，以及读者证类型。</w:t>
            </w:r>
          </w:p>
          <w:p w14:paraId="0AD255D4">
            <w:pP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5.支持读者查询个人信息、当前在借，也可续借图书；支持读者自行绑定人脸、身份证，绑定后即可使用相应的登录方式。</w:t>
            </w:r>
          </w:p>
          <w:p w14:paraId="42335FC9">
            <w:pP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6.支持显示单位logo、轮播图、通知公告，并能够显示时间日期和设备的今日借还数量。</w:t>
            </w:r>
          </w:p>
          <w:p w14:paraId="47EE7D95">
            <w:pP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7.支持显示自助借还设备上的图书借阅排行榜，包括排名、书名和借阅次数。</w:t>
            </w:r>
          </w:p>
          <w:p w14:paraId="2354959F">
            <w:pP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8.支持配置待机图和等待时长，在设备长时间无操作后显示待机图。</w:t>
            </w:r>
          </w:p>
          <w:p w14:paraId="7EFCBC17">
            <w:pP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9.首页提供图书推荐模块，每天更新一本书，支持扫码阅读。</w:t>
            </w:r>
          </w:p>
          <w:p w14:paraId="40C8BB90">
            <w:pPr>
              <w:rPr>
                <w:rFonts w:hint="eastAsia" w:ascii="仿宋" w:hAnsi="仿宋" w:eastAsia="仿宋"/>
                <w:b/>
                <w:bCs/>
                <w:color w:val="000000" w:themeColor="text1"/>
                <w:sz w:val="24"/>
                <w:szCs w:val="28"/>
                <w14:textFill>
                  <w14:solidFill>
                    <w14:schemeClr w14:val="tx1"/>
                  </w14:solidFill>
                </w14:textFill>
              </w:rPr>
            </w:pPr>
            <w:r>
              <w:rPr>
                <w:rFonts w:hint="eastAsia" w:ascii="仿宋" w:hAnsi="仿宋" w:eastAsia="仿宋"/>
                <w:b/>
                <w:bCs/>
                <w:color w:val="000000" w:themeColor="text1"/>
                <w:sz w:val="24"/>
                <w:szCs w:val="28"/>
                <w14:textFill>
                  <w14:solidFill>
                    <w14:schemeClr w14:val="tx1"/>
                  </w14:solidFill>
                </w14:textFill>
              </w:rPr>
              <w:t>▲10.借还机内置3000种或以上正版授权的epub格式电子图书且与原版图书保持原貌一致，如相关图片、目录等，每月定时更新150种或以上热门电子图书。支持新书、热门图书标记功能，供读者参考。同时配备期刊资源，期刊种类需≥200种并能每月更新。</w:t>
            </w:r>
          </w:p>
          <w:p w14:paraId="6FD04ADE">
            <w:pPr>
              <w:rPr>
                <w:rFonts w:hint="eastAsia" w:ascii="仿宋" w:hAnsi="仿宋" w:eastAsia="仿宋"/>
                <w:b/>
                <w:bCs/>
                <w:color w:val="000000" w:themeColor="text1"/>
                <w:sz w:val="24"/>
                <w:szCs w:val="28"/>
                <w14:textFill>
                  <w14:solidFill>
                    <w14:schemeClr w14:val="tx1"/>
                  </w14:solidFill>
                </w14:textFill>
              </w:rPr>
            </w:pPr>
            <w:r>
              <w:rPr>
                <w:rFonts w:hint="eastAsia" w:ascii="仿宋" w:hAnsi="仿宋" w:eastAsia="仿宋"/>
                <w:b/>
                <w:bCs/>
                <w:color w:val="000000" w:themeColor="text1"/>
                <w:sz w:val="24"/>
                <w:szCs w:val="28"/>
                <w14:textFill>
                  <w14:solidFill>
                    <w14:schemeClr w14:val="tx1"/>
                  </w14:solidFill>
                </w14:textFill>
              </w:rPr>
              <w:t>▲11.配套每周荐书管理功能，周推荐管理可自主设置精选图书推送不低于25本。（签订合同前需提交该功能演示视频给采购人核实）</w:t>
            </w:r>
          </w:p>
          <w:p w14:paraId="310946B7">
            <w:pPr>
              <w:rPr>
                <w:rFonts w:ascii="仿宋" w:hAnsi="仿宋" w:eastAsia="仿宋"/>
                <w:b/>
                <w:bCs/>
                <w:color w:val="000000" w:themeColor="text1"/>
                <w:sz w:val="24"/>
                <w:szCs w:val="28"/>
                <w14:textFill>
                  <w14:solidFill>
                    <w14:schemeClr w14:val="tx1"/>
                  </w14:solidFill>
                </w14:textFill>
              </w:rPr>
            </w:pPr>
            <w:r>
              <w:rPr>
                <w:rFonts w:hint="eastAsia" w:ascii="仿宋" w:hAnsi="仿宋" w:eastAsia="仿宋"/>
                <w:b/>
                <w:bCs/>
                <w:color w:val="000000" w:themeColor="text1"/>
                <w:sz w:val="24"/>
                <w:szCs w:val="28"/>
                <w14:textFill>
                  <w14:solidFill>
                    <w14:schemeClr w14:val="tx1"/>
                  </w14:solidFill>
                </w14:textFill>
              </w:rPr>
              <w:t>▲12.自助借还机电子资源部分，可通过后台管理平台根据用户的需求进行图书分类订制，推荐相关的电子图书到自助借还机中展示。定制的图书可以通过手机扫描二维码的方式在手机上阅读，也可以在自助借还机上阅读。（签订合同前需提交该功能演示视频给采购人核实）</w:t>
            </w:r>
          </w:p>
          <w:p w14:paraId="08B5380B">
            <w:pPr>
              <w:rPr>
                <w:rFonts w:ascii="仿宋" w:hAnsi="仿宋" w:eastAsia="仿宋"/>
                <w:b/>
                <w:bCs/>
                <w:color w:val="000000" w:themeColor="text1"/>
                <w:sz w:val="24"/>
                <w:szCs w:val="28"/>
                <w14:textFill>
                  <w14:solidFill>
                    <w14:schemeClr w14:val="tx1"/>
                  </w14:solidFill>
                </w14:textFill>
              </w:rPr>
            </w:pPr>
            <w:r>
              <w:rPr>
                <w:rFonts w:hint="eastAsia" w:ascii="仿宋" w:hAnsi="仿宋" w:eastAsia="仿宋"/>
                <w:b/>
                <w:bCs/>
                <w:color w:val="000000" w:themeColor="text1"/>
                <w:sz w:val="24"/>
                <w:szCs w:val="28"/>
                <w14:textFill>
                  <w14:solidFill>
                    <w14:schemeClr w14:val="tx1"/>
                  </w14:solidFill>
                </w14:textFill>
              </w:rPr>
              <w:t>▲13.通过配套的手机客户端可以直接扫描电子图书模块的图书二维码下载电子图书到手机等移动终端中阅读。手机客户端需同时支持ios、android系统。（签订合同前需提交该功能演示视频给采购人核实）</w:t>
            </w:r>
          </w:p>
          <w:p w14:paraId="4473D3A1">
            <w:pP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14.屏幕尺寸≥31.5寸；分辨率不低于1920*1080；能支持不低于十点电容触控；Android 7.1 及以上操作系统；处理器不低于RK3399 6核，运行内存≥4G，系统存储≥32GB EMMC。</w:t>
            </w:r>
          </w:p>
          <w:p w14:paraId="2A8A9A49">
            <w:pP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15.支持ISO14443A、ISO14443B、IOS15693、ISO18092、Felica等多种标准读者证读卡器。</w:t>
            </w:r>
          </w:p>
          <w:p w14:paraId="224DB159">
            <w:pP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16.设备需配备高清摄像头以方便读者录入人脸信息及使用人脸扫码借阅；设备需配备扫码器以支持二维码或条形码扫码。</w:t>
            </w:r>
          </w:p>
          <w:p w14:paraId="146C7B5D">
            <w:pPr>
              <w:rPr>
                <w:rFonts w:hint="eastAsia" w:ascii="仿宋" w:hAnsi="仿宋" w:eastAsia="仿宋"/>
                <w:b/>
                <w:bCs/>
                <w:color w:val="000000" w:themeColor="text1"/>
                <w:sz w:val="24"/>
                <w:szCs w:val="28"/>
                <w14:textFill>
                  <w14:solidFill>
                    <w14:schemeClr w14:val="tx1"/>
                  </w14:solidFill>
                </w14:textFill>
              </w:rPr>
            </w:pPr>
            <w:r>
              <w:rPr>
                <w:rFonts w:hint="eastAsia" w:ascii="仿宋" w:hAnsi="仿宋" w:eastAsia="仿宋"/>
                <w:b/>
                <w:bCs/>
                <w:color w:val="000000" w:themeColor="text1"/>
                <w:sz w:val="24"/>
                <w:szCs w:val="28"/>
                <w14:textFill>
                  <w14:solidFill>
                    <w14:schemeClr w14:val="tx1"/>
                  </w14:solidFill>
                </w14:textFill>
              </w:rPr>
              <w:t>▲17.自助借还书机需配备数字期刊资源，每月定期更新。要求期刊种类≥200种，同时期刊支持在设备上阅读，支持扫码至手机客户端中离线阅读。（签订合同前需提交该功能演示视频给采购人核实）</w:t>
            </w:r>
          </w:p>
        </w:tc>
      </w:tr>
      <w:tr w14:paraId="36ABB301">
        <w:tblPrEx>
          <w:tblCellMar>
            <w:top w:w="0" w:type="dxa"/>
            <w:left w:w="108" w:type="dxa"/>
            <w:bottom w:w="0" w:type="dxa"/>
            <w:right w:w="108" w:type="dxa"/>
          </w:tblCellMar>
        </w:tblPrEx>
        <w:trPr>
          <w:trHeight w:val="443" w:hRule="atLeast"/>
        </w:trPr>
        <w:tc>
          <w:tcPr>
            <w:tcW w:w="351" w:type="pct"/>
            <w:tcBorders>
              <w:top w:val="single" w:color="000000" w:sz="4" w:space="0"/>
              <w:left w:val="single" w:color="000000" w:sz="4" w:space="0"/>
              <w:bottom w:val="single" w:color="000000" w:sz="4" w:space="0"/>
              <w:right w:val="single" w:color="000000" w:sz="4" w:space="0"/>
            </w:tcBorders>
            <w:vAlign w:val="center"/>
          </w:tcPr>
          <w:p w14:paraId="573ACA00">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663" w:type="pct"/>
            <w:tcBorders>
              <w:top w:val="single" w:color="000000" w:sz="4" w:space="0"/>
              <w:left w:val="single" w:color="000000" w:sz="4" w:space="0"/>
              <w:bottom w:val="single" w:color="000000" w:sz="4" w:space="0"/>
              <w:right w:val="single" w:color="000000" w:sz="4" w:space="0"/>
            </w:tcBorders>
            <w:vAlign w:val="center"/>
          </w:tcPr>
          <w:p w14:paraId="056439D2">
            <w:pPr>
              <w:jc w:val="center"/>
              <w:rPr>
                <w:rFonts w:hint="eastAsia"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自助借还书机软件对接接口</w:t>
            </w:r>
          </w:p>
        </w:tc>
        <w:tc>
          <w:tcPr>
            <w:tcW w:w="368" w:type="pct"/>
            <w:tcBorders>
              <w:top w:val="single" w:color="000000" w:sz="4" w:space="0"/>
              <w:left w:val="single" w:color="000000" w:sz="4" w:space="0"/>
              <w:bottom w:val="single" w:color="000000" w:sz="4" w:space="0"/>
              <w:right w:val="single" w:color="000000" w:sz="4" w:space="0"/>
            </w:tcBorders>
            <w:vAlign w:val="center"/>
          </w:tcPr>
          <w:p w14:paraId="710ADC44">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294" w:type="pct"/>
            <w:tcBorders>
              <w:top w:val="single" w:color="000000" w:sz="4" w:space="0"/>
              <w:left w:val="single" w:color="000000" w:sz="4" w:space="0"/>
              <w:bottom w:val="single" w:color="000000" w:sz="4" w:space="0"/>
              <w:right w:val="single" w:color="auto" w:sz="4" w:space="0"/>
            </w:tcBorders>
            <w:vAlign w:val="center"/>
          </w:tcPr>
          <w:p w14:paraId="48B118A2">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w:t>
            </w:r>
          </w:p>
        </w:tc>
        <w:tc>
          <w:tcPr>
            <w:tcW w:w="3324" w:type="pct"/>
            <w:tcBorders>
              <w:top w:val="single" w:color="auto" w:sz="4" w:space="0"/>
              <w:left w:val="single" w:color="auto" w:sz="4" w:space="0"/>
              <w:bottom w:val="single" w:color="auto" w:sz="4" w:space="0"/>
              <w:right w:val="single" w:color="auto" w:sz="4" w:space="0"/>
            </w:tcBorders>
            <w:vAlign w:val="center"/>
          </w:tcPr>
          <w:p w14:paraId="4D0AE979">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要求与采购人现有</w:t>
            </w:r>
            <w:r>
              <w:rPr>
                <w:rFonts w:ascii="仿宋" w:hAnsi="仿宋" w:eastAsia="仿宋"/>
                <w:color w:val="000000" w:themeColor="text1"/>
                <w:sz w:val="24"/>
                <w:szCs w:val="24"/>
                <w14:textFill>
                  <w14:solidFill>
                    <w14:schemeClr w14:val="tx1"/>
                  </w14:solidFill>
                </w14:textFill>
              </w:rPr>
              <w:t>图书馆管理系统（ILAS系统）对接</w:t>
            </w:r>
            <w:r>
              <w:rPr>
                <w:rFonts w:hint="eastAsia" w:ascii="仿宋" w:hAnsi="仿宋" w:eastAsia="仿宋"/>
                <w:color w:val="000000" w:themeColor="text1"/>
                <w:sz w:val="24"/>
                <w:szCs w:val="24"/>
                <w14:textFill>
                  <w14:solidFill>
                    <w14:schemeClr w14:val="tx1"/>
                  </w14:solidFill>
                </w14:textFill>
              </w:rPr>
              <w:t>，</w:t>
            </w:r>
            <w:r>
              <w:rPr>
                <w:rFonts w:ascii="仿宋" w:hAnsi="仿宋" w:eastAsia="仿宋"/>
                <w:color w:val="000000" w:themeColor="text1"/>
                <w:sz w:val="24"/>
                <w:szCs w:val="24"/>
                <w14:textFill>
                  <w14:solidFill>
                    <w14:schemeClr w14:val="tx1"/>
                  </w14:solidFill>
                </w14:textFill>
              </w:rPr>
              <w:t>实现学生及教职工通过刷一卡通能够在图书馆实现自助借书、自助还书、续借功能。</w:t>
            </w:r>
          </w:p>
        </w:tc>
      </w:tr>
    </w:tbl>
    <w:p w14:paraId="2E5D9897">
      <w:pPr>
        <w:spacing w:before="156" w:beforeLines="50" w:line="440" w:lineRule="exact"/>
        <w:rPr>
          <w:rFonts w:hint="eastAsia" w:ascii="仿宋" w:hAnsi="仿宋" w:eastAsia="仿宋" w:cs="Times New Roman"/>
          <w:bCs/>
          <w:color w:val="000000" w:themeColor="text1"/>
          <w:sz w:val="28"/>
          <w:szCs w:val="28"/>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四、竞价资料</w:t>
      </w:r>
    </w:p>
    <w:p w14:paraId="09B17227">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需要投标人/供应商提供的证明文件资料：1.营业执照复印件、2.法人授权委托证明书和与会代表身份证复印件或者法人代表证明书和身份证复印件；3.承诺函；4.供应商基本情况表；5.深圳市市场监督管理局商事主体登记及备案信息查询单（以上材料均盖公章）。</w:t>
      </w:r>
    </w:p>
    <w:p w14:paraId="329CA3FE">
      <w:pPr>
        <w:pStyle w:val="9"/>
        <w:jc w:val="left"/>
        <w:rPr>
          <w:color w:val="000000" w:themeColor="text1"/>
          <w14:textFill>
            <w14:solidFill>
              <w14:schemeClr w14:val="tx1"/>
            </w14:solidFill>
          </w14:textFill>
        </w:rPr>
      </w:pPr>
    </w:p>
    <w:p w14:paraId="43BBF725">
      <w:pPr>
        <w:spacing w:before="156" w:beforeLines="50" w:line="440" w:lineRule="exact"/>
        <w:rPr>
          <w:rFonts w:hint="eastAsia"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五、商务要求</w:t>
      </w:r>
    </w:p>
    <w:p w14:paraId="4C2BA72A">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（一）结算与付款方式</w:t>
      </w:r>
    </w:p>
    <w:p w14:paraId="01698E88">
      <w:pPr>
        <w:spacing w:line="500" w:lineRule="exact"/>
        <w:ind w:left="210" w:leftChars="100" w:firstLine="300" w:firstLineChars="100"/>
        <w:rPr>
          <w:rFonts w:hint="eastAsia" w:ascii="仿宋" w:hAnsi="仿宋" w:eastAsia="仿宋" w:cs="Times New Roman"/>
          <w:bCs/>
          <w:color w:val="000000" w:themeColor="text1"/>
          <w:sz w:val="30"/>
          <w:szCs w:val="30"/>
          <w:lang w:val="zh-TW"/>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合同签订后，乙方在30个工作日内完成交货，安装调试完成并经验收合格后，且甲方</w:t>
      </w:r>
      <w:r>
        <w:rPr>
          <w:rFonts w:hint="eastAsia" w:ascii="仿宋" w:hAnsi="仿宋" w:eastAsia="仿宋" w:cs="Times New Roman"/>
          <w:bCs/>
          <w:color w:val="000000" w:themeColor="text1"/>
          <w:sz w:val="30"/>
          <w:szCs w:val="30"/>
          <w14:textFill>
            <w14:solidFill>
              <w14:schemeClr w14:val="tx1"/>
            </w14:solidFill>
          </w14:textFill>
        </w:rPr>
        <w:t>在收到乙方正式发票后30个工作日内，甲方向乙方支付</w:t>
      </w:r>
      <w:r>
        <w:rPr>
          <w:rFonts w:hint="eastAsia" w:ascii="仿宋" w:hAnsi="仿宋" w:eastAsia="仿宋" w:cs="Times New Roman"/>
          <w:bCs/>
          <w:color w:val="000000" w:themeColor="text1"/>
          <w:sz w:val="30"/>
          <w:szCs w:val="30"/>
          <w14:textFill>
            <w14:solidFill>
              <w14:schemeClr w14:val="tx1"/>
            </w14:solidFill>
          </w14:textFill>
        </w:rPr>
        <w:t>合同全款</w:t>
      </w:r>
      <w:r>
        <w:rPr>
          <w:rFonts w:hint="eastAsia" w:ascii="仿宋" w:hAnsi="仿宋" w:eastAsia="仿宋" w:cs="Times New Roman"/>
          <w:bCs/>
          <w:color w:val="000000" w:themeColor="text1"/>
          <w:sz w:val="30"/>
          <w:szCs w:val="30"/>
          <w14:textFill>
            <w14:solidFill>
              <w14:schemeClr w14:val="tx1"/>
            </w14:solidFill>
          </w14:textFill>
        </w:rPr>
        <w:t>。</w:t>
      </w:r>
    </w:p>
    <w:p w14:paraId="5CC51320">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（二）违约处罚</w:t>
      </w:r>
    </w:p>
    <w:p w14:paraId="3D6A108D">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1.甲方有权对乙方提供的服务进行全面监督，及时通知乙方进行整改，若乙方不根据甲方的要求进行整改或整改后的项目质量依然无法符合甲方的要求，甲方有权利单方面解除合同（甲方出具合同解除书即日起合同解除）、不支付合同价款，并要求乙方承担合同总价10℅的违约金。若因此给甲方造成损失的，乙方还应承担相应的赔偿责任。</w:t>
      </w:r>
    </w:p>
    <w:p w14:paraId="7DB6E823">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2.因甲乙双方不能完成协议约定的权利和义务造成对其他第三人的违约时，无过错方有权要求对方承担其对第三人的全部违约责任。</w:t>
      </w:r>
    </w:p>
    <w:p w14:paraId="15A9FD20">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 xml:space="preserve"> （三）售后服务</w:t>
      </w:r>
    </w:p>
    <w:p w14:paraId="493A2D5E">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1.</w:t>
      </w:r>
      <w:r>
        <w:rPr>
          <w:rFonts w:ascii="仿宋" w:hAnsi="仿宋" w:eastAsia="仿宋" w:cs="Times New Roman"/>
          <w:bCs/>
          <w:color w:val="000000" w:themeColor="text1"/>
          <w:sz w:val="30"/>
          <w:szCs w:val="30"/>
          <w14:textFill>
            <w14:solidFill>
              <w14:schemeClr w14:val="tx1"/>
            </w14:solidFill>
          </w14:textFill>
        </w:rPr>
        <w:t>免费保修期</w:t>
      </w:r>
      <w:r>
        <w:rPr>
          <w:rFonts w:hint="eastAsia" w:ascii="仿宋" w:hAnsi="仿宋" w:eastAsia="仿宋" w:cs="Times New Roman"/>
          <w:bCs/>
          <w:color w:val="000000" w:themeColor="text1"/>
          <w:sz w:val="30"/>
          <w:szCs w:val="30"/>
          <w14:textFill>
            <w14:solidFill>
              <w14:schemeClr w14:val="tx1"/>
            </w14:solidFill>
          </w14:textFill>
        </w:rPr>
        <w:t>：</w:t>
      </w:r>
      <w:r>
        <w:rPr>
          <w:rFonts w:ascii="仿宋" w:hAnsi="仿宋" w:eastAsia="仿宋" w:cs="Times New Roman"/>
          <w:bCs/>
          <w:color w:val="000000" w:themeColor="text1"/>
          <w:sz w:val="30"/>
          <w:szCs w:val="30"/>
          <w14:textFill>
            <w14:solidFill>
              <w14:schemeClr w14:val="tx1"/>
            </w14:solidFill>
          </w14:textFill>
        </w:rPr>
        <w:t>货物免费保修期</w:t>
      </w:r>
      <w:r>
        <w:rPr>
          <w:rFonts w:hint="eastAsia" w:ascii="仿宋" w:hAnsi="仿宋" w:eastAsia="仿宋" w:cs="Times New Roman"/>
          <w:bCs/>
          <w:color w:val="000000" w:themeColor="text1"/>
          <w:sz w:val="30"/>
          <w:szCs w:val="30"/>
          <w14:textFill>
            <w14:solidFill>
              <w14:schemeClr w14:val="tx1"/>
            </w14:solidFill>
          </w14:textFill>
        </w:rPr>
        <w:t>3</w:t>
      </w:r>
      <w:r>
        <w:rPr>
          <w:rFonts w:ascii="仿宋" w:hAnsi="仿宋" w:eastAsia="仿宋" w:cs="Times New Roman"/>
          <w:bCs/>
          <w:color w:val="000000" w:themeColor="text1"/>
          <w:sz w:val="30"/>
          <w:szCs w:val="30"/>
          <w14:textFill>
            <w14:solidFill>
              <w14:schemeClr w14:val="tx1"/>
            </w14:solidFill>
          </w14:textFill>
        </w:rPr>
        <w:t>年，时间自最终验收合格并交付使用之日起计算。</w:t>
      </w:r>
    </w:p>
    <w:p w14:paraId="7459723D">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2.</w:t>
      </w:r>
      <w:r>
        <w:rPr>
          <w:rFonts w:hint="eastAsia"/>
          <w:color w:val="000000" w:themeColor="text1"/>
          <w14:textFill>
            <w14:solidFill>
              <w14:schemeClr w14:val="tx1"/>
            </w14:solidFill>
          </w14:textFill>
        </w:rPr>
        <w:t xml:space="preserve"> </w:t>
      </w:r>
      <w:r>
        <w:rPr>
          <w:rFonts w:ascii="仿宋" w:hAnsi="仿宋" w:eastAsia="仿宋" w:cs="Times New Roman"/>
          <w:bCs/>
          <w:color w:val="000000" w:themeColor="text1"/>
          <w:sz w:val="30"/>
          <w:szCs w:val="30"/>
          <w14:textFill>
            <w14:solidFill>
              <w14:schemeClr w14:val="tx1"/>
            </w14:solidFill>
          </w14:textFill>
        </w:rPr>
        <w:t>维修响应及故障解决时间</w:t>
      </w:r>
      <w:r>
        <w:rPr>
          <w:rFonts w:hint="eastAsia" w:ascii="仿宋" w:hAnsi="仿宋" w:eastAsia="仿宋" w:cs="Times New Roman"/>
          <w:bCs/>
          <w:color w:val="000000" w:themeColor="text1"/>
          <w:sz w:val="30"/>
          <w:szCs w:val="30"/>
          <w14:textFill>
            <w14:solidFill>
              <w14:schemeClr w14:val="tx1"/>
            </w14:solidFill>
          </w14:textFill>
        </w:rPr>
        <w:t>：</w:t>
      </w:r>
      <w:r>
        <w:rPr>
          <w:rFonts w:ascii="仿宋" w:hAnsi="仿宋" w:eastAsia="仿宋" w:cs="Times New Roman"/>
          <w:bCs/>
          <w:color w:val="000000" w:themeColor="text1"/>
          <w:sz w:val="30"/>
          <w:szCs w:val="30"/>
          <w14:textFill>
            <w14:solidFill>
              <w14:schemeClr w14:val="tx1"/>
            </w14:solidFill>
          </w14:textFill>
        </w:rPr>
        <w:t>在保修期内，一旦发生质量问题，投标人保证在接到通知</w:t>
      </w:r>
      <w:r>
        <w:rPr>
          <w:rFonts w:hint="eastAsia" w:ascii="仿宋" w:hAnsi="仿宋" w:eastAsia="仿宋" w:cs="Times New Roman"/>
          <w:bCs/>
          <w:color w:val="000000" w:themeColor="text1"/>
          <w:sz w:val="30"/>
          <w:szCs w:val="30"/>
          <w14:textFill>
            <w14:solidFill>
              <w14:schemeClr w14:val="tx1"/>
            </w14:solidFill>
          </w14:textFill>
        </w:rPr>
        <w:t>2小时内响应，</w:t>
      </w:r>
      <w:r>
        <w:rPr>
          <w:rFonts w:ascii="仿宋" w:hAnsi="仿宋" w:eastAsia="仿宋" w:cs="Times New Roman"/>
          <w:bCs/>
          <w:color w:val="000000" w:themeColor="text1"/>
          <w:sz w:val="30"/>
          <w:szCs w:val="30"/>
          <w14:textFill>
            <w14:solidFill>
              <w14:schemeClr w14:val="tx1"/>
            </w14:solidFill>
          </w14:textFill>
        </w:rPr>
        <w:t>24小时内</w:t>
      </w:r>
      <w:r>
        <w:rPr>
          <w:rFonts w:hint="eastAsia" w:ascii="仿宋" w:hAnsi="仿宋" w:eastAsia="仿宋" w:cs="Times New Roman"/>
          <w:bCs/>
          <w:color w:val="000000" w:themeColor="text1"/>
          <w:sz w:val="30"/>
          <w:szCs w:val="30"/>
          <w14:textFill>
            <w14:solidFill>
              <w14:schemeClr w14:val="tx1"/>
            </w14:solidFill>
          </w14:textFill>
        </w:rPr>
        <w:t>进行远程或</w:t>
      </w:r>
      <w:r>
        <w:rPr>
          <w:rFonts w:ascii="仿宋" w:hAnsi="仿宋" w:eastAsia="仿宋" w:cs="Times New Roman"/>
          <w:bCs/>
          <w:color w:val="000000" w:themeColor="text1"/>
          <w:sz w:val="30"/>
          <w:szCs w:val="30"/>
          <w14:textFill>
            <w14:solidFill>
              <w14:schemeClr w14:val="tx1"/>
            </w14:solidFill>
          </w14:textFill>
        </w:rPr>
        <w:t>赶到现场进行修理。</w:t>
      </w:r>
    </w:p>
    <w:p w14:paraId="1A5EE318">
      <w:pPr>
        <w:pStyle w:val="2"/>
        <w:rPr>
          <w:color w:val="000000" w:themeColor="text1"/>
          <w14:textFill>
            <w14:solidFill>
              <w14:schemeClr w14:val="tx1"/>
            </w14:solidFill>
          </w14:textFill>
        </w:rPr>
      </w:pPr>
    </w:p>
    <w:sectPr>
      <w:footerReference r:id="rId4" w:type="first"/>
      <w:footerReference r:id="rId3" w:type="default"/>
      <w:pgSz w:w="11906" w:h="16838"/>
      <w:pgMar w:top="1474" w:right="1134" w:bottom="1134" w:left="1361" w:header="851"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E5866">
    <w:pPr>
      <w:pStyle w:val="7"/>
      <w:jc w:val="cente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6B277">
    <w:pPr>
      <w:pStyle w:val="7"/>
      <w:jc w:val="cente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6249E"/>
    <w:multiLevelType w:val="singleLevel"/>
    <w:tmpl w:val="B2A6249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kNjAxNWIzMWMzMzQxMjYxY2JmYjBjMzUwMTA2NTQifQ=="/>
  </w:docVars>
  <w:rsids>
    <w:rsidRoot w:val="5D785B61"/>
    <w:rsid w:val="00000AF6"/>
    <w:rsid w:val="00007F76"/>
    <w:rsid w:val="00026AB0"/>
    <w:rsid w:val="00060187"/>
    <w:rsid w:val="00060BBE"/>
    <w:rsid w:val="00065A92"/>
    <w:rsid w:val="00077E05"/>
    <w:rsid w:val="000A7B39"/>
    <w:rsid w:val="0010308E"/>
    <w:rsid w:val="00115F1C"/>
    <w:rsid w:val="001260E2"/>
    <w:rsid w:val="001276E2"/>
    <w:rsid w:val="001332F8"/>
    <w:rsid w:val="00164C07"/>
    <w:rsid w:val="001C5A34"/>
    <w:rsid w:val="00207489"/>
    <w:rsid w:val="002271C5"/>
    <w:rsid w:val="00272A4E"/>
    <w:rsid w:val="002C49ED"/>
    <w:rsid w:val="00304E97"/>
    <w:rsid w:val="0030620E"/>
    <w:rsid w:val="00333AC5"/>
    <w:rsid w:val="00377F4B"/>
    <w:rsid w:val="0039066F"/>
    <w:rsid w:val="0042367C"/>
    <w:rsid w:val="0044395D"/>
    <w:rsid w:val="004D01FA"/>
    <w:rsid w:val="004D2A18"/>
    <w:rsid w:val="00545C55"/>
    <w:rsid w:val="005529F7"/>
    <w:rsid w:val="005E5025"/>
    <w:rsid w:val="006104A9"/>
    <w:rsid w:val="00633871"/>
    <w:rsid w:val="006445DF"/>
    <w:rsid w:val="00691421"/>
    <w:rsid w:val="006A2913"/>
    <w:rsid w:val="006A525B"/>
    <w:rsid w:val="006C6963"/>
    <w:rsid w:val="006D6583"/>
    <w:rsid w:val="006F5B8C"/>
    <w:rsid w:val="007048C5"/>
    <w:rsid w:val="007248BE"/>
    <w:rsid w:val="00736FDC"/>
    <w:rsid w:val="00760929"/>
    <w:rsid w:val="007762DD"/>
    <w:rsid w:val="007B3BF2"/>
    <w:rsid w:val="007D2E1D"/>
    <w:rsid w:val="0082096B"/>
    <w:rsid w:val="00841F0D"/>
    <w:rsid w:val="00904D9B"/>
    <w:rsid w:val="009126B6"/>
    <w:rsid w:val="00954E56"/>
    <w:rsid w:val="00964B38"/>
    <w:rsid w:val="0098370A"/>
    <w:rsid w:val="009849AD"/>
    <w:rsid w:val="00994ED3"/>
    <w:rsid w:val="009A3258"/>
    <w:rsid w:val="009B1679"/>
    <w:rsid w:val="009B4554"/>
    <w:rsid w:val="009C6969"/>
    <w:rsid w:val="009C76D2"/>
    <w:rsid w:val="009D0632"/>
    <w:rsid w:val="009F3852"/>
    <w:rsid w:val="00A31D45"/>
    <w:rsid w:val="00A55F2A"/>
    <w:rsid w:val="00A92D74"/>
    <w:rsid w:val="00AD0BB9"/>
    <w:rsid w:val="00AD392E"/>
    <w:rsid w:val="00AF17F0"/>
    <w:rsid w:val="00AF7C3F"/>
    <w:rsid w:val="00B10A94"/>
    <w:rsid w:val="00B169FB"/>
    <w:rsid w:val="00B404D8"/>
    <w:rsid w:val="00B42174"/>
    <w:rsid w:val="00B4573B"/>
    <w:rsid w:val="00B615B6"/>
    <w:rsid w:val="00B83AA9"/>
    <w:rsid w:val="00B851FA"/>
    <w:rsid w:val="00B969AB"/>
    <w:rsid w:val="00BD2B42"/>
    <w:rsid w:val="00BE2064"/>
    <w:rsid w:val="00BE23D5"/>
    <w:rsid w:val="00C06121"/>
    <w:rsid w:val="00C14478"/>
    <w:rsid w:val="00C36B0B"/>
    <w:rsid w:val="00C51425"/>
    <w:rsid w:val="00C7422D"/>
    <w:rsid w:val="00C7792F"/>
    <w:rsid w:val="00C8058E"/>
    <w:rsid w:val="00C80AF2"/>
    <w:rsid w:val="00C85F8B"/>
    <w:rsid w:val="00C92167"/>
    <w:rsid w:val="00C93DA1"/>
    <w:rsid w:val="00CA10C1"/>
    <w:rsid w:val="00D104C3"/>
    <w:rsid w:val="00D16BB5"/>
    <w:rsid w:val="00D41FF1"/>
    <w:rsid w:val="00D46304"/>
    <w:rsid w:val="00D77672"/>
    <w:rsid w:val="00DA1BC2"/>
    <w:rsid w:val="00DB646B"/>
    <w:rsid w:val="00DD2760"/>
    <w:rsid w:val="00E020C9"/>
    <w:rsid w:val="00E053F7"/>
    <w:rsid w:val="00E07489"/>
    <w:rsid w:val="00E315D8"/>
    <w:rsid w:val="00E41532"/>
    <w:rsid w:val="00E97235"/>
    <w:rsid w:val="00EA18F3"/>
    <w:rsid w:val="00EA43CC"/>
    <w:rsid w:val="00EB6463"/>
    <w:rsid w:val="00F23DF3"/>
    <w:rsid w:val="00F626F5"/>
    <w:rsid w:val="00F65D47"/>
    <w:rsid w:val="00FC3A53"/>
    <w:rsid w:val="00FD4330"/>
    <w:rsid w:val="017460A8"/>
    <w:rsid w:val="0183453D"/>
    <w:rsid w:val="02BC3862"/>
    <w:rsid w:val="0313544C"/>
    <w:rsid w:val="03D14550"/>
    <w:rsid w:val="03F96192"/>
    <w:rsid w:val="05E01D89"/>
    <w:rsid w:val="05F257ED"/>
    <w:rsid w:val="06676738"/>
    <w:rsid w:val="06A55D11"/>
    <w:rsid w:val="07A40E7D"/>
    <w:rsid w:val="09070C2B"/>
    <w:rsid w:val="0943135B"/>
    <w:rsid w:val="11301FEB"/>
    <w:rsid w:val="16004DBA"/>
    <w:rsid w:val="16EF2AF3"/>
    <w:rsid w:val="1733021D"/>
    <w:rsid w:val="181A7599"/>
    <w:rsid w:val="183716B0"/>
    <w:rsid w:val="19A625A3"/>
    <w:rsid w:val="1A3A7C0A"/>
    <w:rsid w:val="1A805517"/>
    <w:rsid w:val="1BBC1ACC"/>
    <w:rsid w:val="1DFB5E67"/>
    <w:rsid w:val="1E77137C"/>
    <w:rsid w:val="1F036752"/>
    <w:rsid w:val="1FB060A5"/>
    <w:rsid w:val="1FCA05A1"/>
    <w:rsid w:val="206E4253"/>
    <w:rsid w:val="227B63AC"/>
    <w:rsid w:val="24975894"/>
    <w:rsid w:val="24D708B0"/>
    <w:rsid w:val="267918E7"/>
    <w:rsid w:val="289C4A89"/>
    <w:rsid w:val="29E02B78"/>
    <w:rsid w:val="2A6603D4"/>
    <w:rsid w:val="2B2F6A18"/>
    <w:rsid w:val="2B412E91"/>
    <w:rsid w:val="2BEB6DE3"/>
    <w:rsid w:val="2C9F6EE0"/>
    <w:rsid w:val="2CF241A1"/>
    <w:rsid w:val="2F9C6646"/>
    <w:rsid w:val="301A2DFD"/>
    <w:rsid w:val="3054212C"/>
    <w:rsid w:val="30DA7F40"/>
    <w:rsid w:val="331C24E3"/>
    <w:rsid w:val="33933951"/>
    <w:rsid w:val="33F61A3F"/>
    <w:rsid w:val="34EC7A62"/>
    <w:rsid w:val="34FD36E3"/>
    <w:rsid w:val="36C5054B"/>
    <w:rsid w:val="370451FC"/>
    <w:rsid w:val="3AFB79CE"/>
    <w:rsid w:val="3BAD3AB9"/>
    <w:rsid w:val="3C942B7F"/>
    <w:rsid w:val="3F584337"/>
    <w:rsid w:val="40E73F05"/>
    <w:rsid w:val="4892487E"/>
    <w:rsid w:val="49627B61"/>
    <w:rsid w:val="4AA91EEB"/>
    <w:rsid w:val="4C952FAB"/>
    <w:rsid w:val="4ED96B17"/>
    <w:rsid w:val="51600FA4"/>
    <w:rsid w:val="51A61F03"/>
    <w:rsid w:val="5274333E"/>
    <w:rsid w:val="56E779EA"/>
    <w:rsid w:val="577443AD"/>
    <w:rsid w:val="57CA16F3"/>
    <w:rsid w:val="57FE2109"/>
    <w:rsid w:val="5A2A46CB"/>
    <w:rsid w:val="5A9F51B6"/>
    <w:rsid w:val="5D785B61"/>
    <w:rsid w:val="5ECD119E"/>
    <w:rsid w:val="5F1E4D57"/>
    <w:rsid w:val="61DB2001"/>
    <w:rsid w:val="673C3CAC"/>
    <w:rsid w:val="6AED31DE"/>
    <w:rsid w:val="6E6164B5"/>
    <w:rsid w:val="7040440F"/>
    <w:rsid w:val="71976E57"/>
    <w:rsid w:val="726522EC"/>
    <w:rsid w:val="729D1A86"/>
    <w:rsid w:val="733A5527"/>
    <w:rsid w:val="74D9612E"/>
    <w:rsid w:val="75151599"/>
    <w:rsid w:val="77AF127F"/>
    <w:rsid w:val="79254B3C"/>
    <w:rsid w:val="7ABD2DD8"/>
    <w:rsid w:val="7BD40A79"/>
    <w:rsid w:val="7BF23722"/>
    <w:rsid w:val="7C8B5C72"/>
    <w:rsid w:val="7DEA3C35"/>
    <w:rsid w:val="7F242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pacing w:before="49"/>
      <w:ind w:left="120"/>
      <w:jc w:val="left"/>
    </w:pPr>
    <w:rPr>
      <w:rFonts w:ascii="宋体" w:cs="宋体"/>
      <w:kern w:val="0"/>
      <w:sz w:val="18"/>
      <w:szCs w:val="18"/>
    </w:rPr>
  </w:style>
  <w:style w:type="paragraph" w:styleId="3">
    <w:name w:val="Normal Indent"/>
    <w:basedOn w:val="1"/>
    <w:next w:val="4"/>
    <w:qFormat/>
    <w:uiPriority w:val="0"/>
    <w:pPr>
      <w:ind w:firstLine="420"/>
    </w:pPr>
    <w:rPr>
      <w:szCs w:val="20"/>
    </w:rPr>
  </w:style>
  <w:style w:type="paragraph" w:styleId="4">
    <w:name w:val="Body Text 2"/>
    <w:basedOn w:val="1"/>
    <w:qFormat/>
    <w:uiPriority w:val="0"/>
    <w:pPr>
      <w:spacing w:after="120" w:line="480" w:lineRule="auto"/>
    </w:pPr>
    <w:rPr>
      <w:rFonts w:ascii="楷体_GB2312" w:hAnsi="华文楷体" w:eastAsia="楷体_GB2312" w:cs="Times New Roman"/>
      <w:color w:val="000000"/>
      <w:sz w:val="28"/>
      <w:szCs w:val="28"/>
    </w:rPr>
  </w:style>
  <w:style w:type="paragraph" w:styleId="5">
    <w:name w:val="Body Text Indent"/>
    <w:basedOn w:val="1"/>
    <w:next w:val="6"/>
    <w:qFormat/>
    <w:uiPriority w:val="0"/>
    <w:pPr>
      <w:spacing w:after="120"/>
      <w:ind w:left="420" w:leftChars="200"/>
    </w:pPr>
  </w:style>
  <w:style w:type="paragraph" w:customStyle="1" w:styleId="6">
    <w:name w:val="font5"/>
    <w:basedOn w:val="1"/>
    <w:qFormat/>
    <w:uiPriority w:val="99"/>
    <w:pPr>
      <w:widowControl/>
      <w:spacing w:before="100" w:beforeAutospacing="1" w:after="100" w:afterAutospacing="1"/>
      <w:jc w:val="left"/>
    </w:pPr>
    <w:rPr>
      <w:rFonts w:ascii="宋体"/>
      <w:kern w:val="0"/>
      <w:sz w:val="18"/>
      <w:szCs w:val="18"/>
    </w:rPr>
  </w:style>
  <w:style w:type="paragraph" w:styleId="7">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adjustRightInd w:val="0"/>
      <w:jc w:val="center"/>
      <w:textAlignment w:val="baseline"/>
    </w:pPr>
    <w:rPr>
      <w:rFonts w:ascii="Times New Roman" w:hAnsi="Times New Roman" w:eastAsia="黑体"/>
      <w:kern w:val="0"/>
      <w:sz w:val="32"/>
    </w:rPr>
  </w:style>
  <w:style w:type="paragraph" w:styleId="10">
    <w:name w:val="Body Text First Indent 2"/>
    <w:basedOn w:val="5"/>
    <w:next w:val="3"/>
    <w:qFormat/>
    <w:uiPriority w:val="0"/>
    <w:pPr>
      <w:ind w:firstLine="420" w:firstLineChars="200"/>
    </w:pPr>
  </w:style>
  <w:style w:type="character" w:styleId="13">
    <w:name w:val="Strong"/>
    <w:basedOn w:val="12"/>
    <w:qFormat/>
    <w:uiPriority w:val="0"/>
    <w:rPr>
      <w:b/>
    </w:rPr>
  </w:style>
  <w:style w:type="character" w:customStyle="1" w:styleId="14">
    <w:name w:val="页眉 字符"/>
    <w:basedOn w:val="12"/>
    <w:link w:val="8"/>
    <w:qFormat/>
    <w:uiPriority w:val="0"/>
    <w:rPr>
      <w:kern w:val="2"/>
      <w:sz w:val="18"/>
      <w:szCs w:val="18"/>
    </w:rPr>
  </w:style>
  <w:style w:type="character" w:customStyle="1" w:styleId="15">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2071</Words>
  <Characters>2245</Characters>
  <Lines>16</Lines>
  <Paragraphs>4</Paragraphs>
  <TotalTime>117</TotalTime>
  <ScaleCrop>false</ScaleCrop>
  <LinksUpToDate>false</LinksUpToDate>
  <CharactersWithSpaces>2265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2025-06-10T07:08:00Z</dcterms:created>
  <dc:creator>吴艳君</dc:creator>
  <cp:lastModifiedBy>伴月</cp:lastModifiedBy>
  <cp:lastPrinted>2025-10-29T06:46:00Z</cp:lastPrinted>
  <dcterms:modified xsi:type="dcterms:W3CDTF">2026-06-18T01:05:22Z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D93B0A24041C4BB9BC52735203D2A918_13</vt:lpwstr>
  </property>
  <property fmtid="{D5CDD505-2E9C-101B-9397-08002B2CF9AE}" pid="4" name="KSOTemplateDocerSaveRecord">
    <vt:lpwstr>eyJoZGlkIjoiNDI2ODI2M2U5YTM4ZmVjN2Q5YzdkZjczN2VjMzBmZTUiLCJ1c2VySWQiOiIyNzk5MTMwODIifQ==</vt:lpwstr>
  </property>
</Properties>
</file>