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5F70">
      <w:pPr>
        <w:jc w:val="center"/>
        <w:outlineLvl w:val="0"/>
        <w:rPr>
          <w:rFonts w:cs="宋体"/>
          <w:b/>
          <w:sz w:val="36"/>
          <w:szCs w:val="21"/>
        </w:rPr>
      </w:pPr>
      <w:r>
        <w:rPr>
          <w:rFonts w:hint="eastAsia" w:cs="宋体"/>
          <w:b/>
          <w:sz w:val="36"/>
          <w:szCs w:val="21"/>
        </w:rPr>
        <w:t>深圳市龙华区中心医院</w:t>
      </w:r>
      <w:r>
        <w:rPr>
          <w:rFonts w:hint="eastAsia" w:cs="宋体"/>
          <w:b/>
          <w:sz w:val="36"/>
          <w:szCs w:val="21"/>
          <w:lang w:val="en-US" w:eastAsia="zh-CN"/>
        </w:rPr>
        <w:t>数据安全分类分级服务</w:t>
      </w:r>
      <w:r>
        <w:rPr>
          <w:rFonts w:hint="eastAsia" w:cs="宋体"/>
          <w:b/>
          <w:sz w:val="36"/>
          <w:szCs w:val="21"/>
        </w:rPr>
        <w:t>项目</w:t>
      </w:r>
    </w:p>
    <w:p w14:paraId="2AF13979">
      <w:pPr>
        <w:jc w:val="center"/>
        <w:outlineLvl w:val="0"/>
        <w:rPr>
          <w:rFonts w:hint="eastAsia" w:cs="宋体"/>
          <w:b/>
          <w:sz w:val="36"/>
          <w:szCs w:val="21"/>
        </w:rPr>
      </w:pPr>
      <w:r>
        <w:rPr>
          <w:rFonts w:hint="eastAsia" w:cs="宋体"/>
          <w:b/>
          <w:sz w:val="36"/>
          <w:szCs w:val="21"/>
        </w:rPr>
        <w:t>用户需求书</w:t>
      </w:r>
    </w:p>
    <w:p w14:paraId="7090DA88">
      <w:pPr>
        <w:spacing w:line="400" w:lineRule="exact"/>
        <w:jc w:val="center"/>
        <w:rPr>
          <w:rFonts w:hint="eastAsia" w:hAnsi="宋体" w:cs="宋体"/>
          <w:color w:val="000000"/>
          <w:sz w:val="40"/>
        </w:rPr>
      </w:pPr>
    </w:p>
    <w:p w14:paraId="5095A152">
      <w:pPr>
        <w:spacing w:line="400" w:lineRule="exact"/>
        <w:jc w:val="center"/>
        <w:rPr>
          <w:rFonts w:hint="eastAsia" w:hAnsi="宋体" w:cs="宋体"/>
          <w:color w:val="000000"/>
          <w:sz w:val="40"/>
        </w:rPr>
      </w:pPr>
    </w:p>
    <w:p w14:paraId="51378965">
      <w:pPr>
        <w:jc w:val="center"/>
        <w:outlineLvl w:val="9"/>
        <w:rPr>
          <w:rFonts w:hint="eastAsia" w:cs="宋体"/>
          <w:b/>
          <w:sz w:val="36"/>
          <w:szCs w:val="21"/>
        </w:rPr>
      </w:pPr>
    </w:p>
    <w:p w14:paraId="03369C1F">
      <w:pPr>
        <w:numPr>
          <w:ilvl w:val="0"/>
          <w:numId w:val="2"/>
        </w:numPr>
        <w:outlineLvl w:val="0"/>
        <w:rPr>
          <w:rFonts w:hint="eastAsia"/>
          <w:b/>
          <w:bCs/>
          <w:sz w:val="28"/>
          <w:szCs w:val="28"/>
        </w:rPr>
      </w:pPr>
      <w:r>
        <w:rPr>
          <w:rFonts w:hint="eastAsia"/>
          <w:b/>
          <w:bCs/>
          <w:sz w:val="28"/>
          <w:szCs w:val="28"/>
        </w:rPr>
        <w:t>项目基本信息</w:t>
      </w:r>
    </w:p>
    <w:p w14:paraId="610FF779">
      <w:pPr>
        <w:pStyle w:val="40"/>
        <w:adjustRightInd w:val="0"/>
        <w:snapToGrid w:val="0"/>
        <w:spacing w:before="156" w:beforeLines="50" w:line="360" w:lineRule="auto"/>
        <w:ind w:firstLine="0" w:firstLineChars="0"/>
        <w:outlineLvl w:val="2"/>
        <w:rPr>
          <w:rFonts w:hint="eastAsia" w:ascii="宋体" w:hAnsi="宋体" w:cs="宋体"/>
          <w:b/>
          <w:color w:val="000000"/>
          <w:szCs w:val="21"/>
        </w:rPr>
      </w:pPr>
      <w:bookmarkStart w:id="0" w:name="_Toc11060656"/>
      <w:bookmarkStart w:id="1" w:name="_Toc15391088"/>
      <w:bookmarkStart w:id="2" w:name="_Toc11060638"/>
      <w:r>
        <w:rPr>
          <w:rFonts w:hint="eastAsia" w:ascii="宋体" w:hAnsi="宋体" w:cs="宋体"/>
          <w:b/>
          <w:color w:val="000000"/>
          <w:szCs w:val="21"/>
        </w:rPr>
        <w:t>采购需求一览表</w:t>
      </w:r>
      <w:bookmarkEnd w:id="0"/>
      <w:bookmarkEnd w:id="1"/>
      <w:bookmarkEnd w:id="2"/>
    </w:p>
    <w:tbl>
      <w:tblPr>
        <w:tblStyle w:val="22"/>
        <w:tblW w:w="93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1063"/>
        <w:gridCol w:w="3150"/>
        <w:gridCol w:w="2210"/>
      </w:tblGrid>
      <w:tr w14:paraId="17F10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81" w:type="dxa"/>
            <w:tcBorders>
              <w:top w:val="single" w:color="auto" w:sz="12" w:space="0"/>
              <w:bottom w:val="single" w:color="auto" w:sz="2" w:space="0"/>
            </w:tcBorders>
            <w:shd w:val="clear" w:color="auto" w:fill="EEECE1"/>
            <w:noWrap/>
            <w:vAlign w:val="center"/>
          </w:tcPr>
          <w:p w14:paraId="3C95CF3A">
            <w:pPr>
              <w:jc w:val="center"/>
              <w:rPr>
                <w:rFonts w:hint="eastAsia"/>
                <w:b/>
                <w:color w:val="000000"/>
              </w:rPr>
            </w:pPr>
            <w:r>
              <w:rPr>
                <w:rFonts w:hint="eastAsia"/>
                <w:b/>
                <w:color w:val="000000"/>
              </w:rPr>
              <w:t>采购内容</w:t>
            </w:r>
          </w:p>
        </w:tc>
        <w:tc>
          <w:tcPr>
            <w:tcW w:w="1063" w:type="dxa"/>
            <w:tcBorders>
              <w:top w:val="single" w:color="auto" w:sz="12" w:space="0"/>
              <w:bottom w:val="single" w:color="auto" w:sz="2" w:space="0"/>
            </w:tcBorders>
            <w:shd w:val="clear" w:color="auto" w:fill="EEECE1"/>
            <w:noWrap/>
            <w:vAlign w:val="center"/>
          </w:tcPr>
          <w:p w14:paraId="5A3BAE9F">
            <w:pPr>
              <w:jc w:val="center"/>
              <w:rPr>
                <w:rFonts w:hint="eastAsia"/>
                <w:b/>
                <w:color w:val="000000"/>
              </w:rPr>
            </w:pPr>
            <w:r>
              <w:rPr>
                <w:rFonts w:hint="eastAsia"/>
                <w:b/>
                <w:color w:val="000000"/>
              </w:rPr>
              <w:t>数量</w:t>
            </w:r>
          </w:p>
        </w:tc>
        <w:tc>
          <w:tcPr>
            <w:tcW w:w="3150" w:type="dxa"/>
            <w:tcBorders>
              <w:top w:val="single" w:color="auto" w:sz="12" w:space="0"/>
              <w:bottom w:val="single" w:color="auto" w:sz="2" w:space="0"/>
            </w:tcBorders>
            <w:shd w:val="clear" w:color="auto" w:fill="EEECE1"/>
            <w:noWrap/>
            <w:vAlign w:val="center"/>
          </w:tcPr>
          <w:p w14:paraId="3EA6FFB3">
            <w:pPr>
              <w:jc w:val="center"/>
              <w:rPr>
                <w:rFonts w:hint="eastAsia" w:eastAsia="宋体"/>
                <w:b/>
                <w:color w:val="000000"/>
                <w:lang w:val="en-US" w:eastAsia="zh-CN"/>
              </w:rPr>
            </w:pPr>
            <w:r>
              <w:rPr>
                <w:rFonts w:hint="eastAsia"/>
                <w:b/>
                <w:color w:val="000000"/>
              </w:rPr>
              <w:t>服务</w:t>
            </w:r>
            <w:r>
              <w:rPr>
                <w:rFonts w:hint="eastAsia"/>
                <w:b/>
                <w:color w:val="000000"/>
                <w:lang w:val="en-US" w:eastAsia="zh-CN"/>
              </w:rPr>
              <w:t>内容</w:t>
            </w:r>
          </w:p>
        </w:tc>
        <w:tc>
          <w:tcPr>
            <w:tcW w:w="2210" w:type="dxa"/>
            <w:tcBorders>
              <w:top w:val="single" w:color="auto" w:sz="12" w:space="0"/>
              <w:bottom w:val="single" w:color="auto" w:sz="2" w:space="0"/>
            </w:tcBorders>
            <w:shd w:val="clear" w:color="auto" w:fill="EEECE1"/>
            <w:noWrap/>
            <w:vAlign w:val="center"/>
          </w:tcPr>
          <w:p w14:paraId="27AC4C1F">
            <w:pPr>
              <w:jc w:val="center"/>
              <w:rPr>
                <w:rFonts w:hint="eastAsia"/>
                <w:color w:val="000000"/>
              </w:rPr>
            </w:pPr>
            <w:r>
              <w:rPr>
                <w:rFonts w:hint="eastAsia"/>
                <w:b/>
                <w:color w:val="000000"/>
              </w:rPr>
              <w:t>最高限价</w:t>
            </w:r>
          </w:p>
        </w:tc>
      </w:tr>
      <w:tr w14:paraId="68D3A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881" w:type="dxa"/>
            <w:tcBorders>
              <w:top w:val="single" w:color="auto" w:sz="2" w:space="0"/>
              <w:bottom w:val="single" w:color="auto" w:sz="2" w:space="0"/>
            </w:tcBorders>
            <w:noWrap/>
            <w:vAlign w:val="center"/>
          </w:tcPr>
          <w:p w14:paraId="15F779A6">
            <w:pPr>
              <w:jc w:val="center"/>
              <w:rPr>
                <w:rFonts w:hint="eastAsia"/>
                <w:color w:val="000000"/>
              </w:rPr>
            </w:pPr>
            <w:r>
              <w:rPr>
                <w:rFonts w:hint="eastAsia"/>
                <w:color w:val="000000"/>
                <w:lang w:val="en-US" w:eastAsia="zh-CN"/>
              </w:rPr>
              <w:t>数据安全分类分级服务</w:t>
            </w:r>
          </w:p>
        </w:tc>
        <w:tc>
          <w:tcPr>
            <w:tcW w:w="1063" w:type="dxa"/>
            <w:tcBorders>
              <w:top w:val="single" w:color="auto" w:sz="2" w:space="0"/>
              <w:bottom w:val="single" w:color="auto" w:sz="2" w:space="0"/>
            </w:tcBorders>
            <w:noWrap/>
            <w:vAlign w:val="center"/>
          </w:tcPr>
          <w:p w14:paraId="520290CC">
            <w:pPr>
              <w:jc w:val="center"/>
              <w:rPr>
                <w:rFonts w:hint="eastAsia"/>
                <w:color w:val="000000"/>
              </w:rPr>
            </w:pPr>
            <w:r>
              <w:rPr>
                <w:rFonts w:hint="eastAsia"/>
                <w:color w:val="000000"/>
              </w:rPr>
              <w:t>1</w:t>
            </w:r>
          </w:p>
        </w:tc>
        <w:tc>
          <w:tcPr>
            <w:tcW w:w="3150" w:type="dxa"/>
            <w:tcBorders>
              <w:top w:val="single" w:color="auto" w:sz="2" w:space="0"/>
              <w:bottom w:val="single" w:color="auto" w:sz="2" w:space="0"/>
            </w:tcBorders>
            <w:noWrap/>
            <w:vAlign w:val="center"/>
          </w:tcPr>
          <w:p w14:paraId="2FA1667F">
            <w:pPr>
              <w:pStyle w:val="44"/>
              <w:spacing w:line="440" w:lineRule="exact"/>
              <w:ind w:right="-94" w:rightChars="-39" w:hanging="54"/>
              <w:rPr>
                <w:rFonts w:hint="eastAsia"/>
                <w:color w:val="000000"/>
                <w:spacing w:val="0"/>
                <w:kern w:val="2"/>
                <w:sz w:val="21"/>
              </w:rPr>
            </w:pPr>
            <w:r>
              <w:rPr>
                <w:rFonts w:hint="eastAsia"/>
                <w:color w:val="000000"/>
                <w:spacing w:val="0"/>
                <w:kern w:val="2"/>
                <w:sz w:val="21"/>
                <w:lang w:val="en-US" w:eastAsia="zh-CN"/>
              </w:rPr>
              <w:t>龙华区中心医院</w:t>
            </w:r>
            <w:r>
              <w:rPr>
                <w:rFonts w:hint="eastAsia"/>
                <w:color w:val="000000"/>
                <w:spacing w:val="0"/>
                <w:kern w:val="2"/>
                <w:sz w:val="21"/>
              </w:rPr>
              <w:t>体检、实验室检验系统数据库表和字段的分类分级服务</w:t>
            </w:r>
          </w:p>
        </w:tc>
        <w:tc>
          <w:tcPr>
            <w:tcW w:w="2210" w:type="dxa"/>
            <w:tcBorders>
              <w:top w:val="single" w:color="auto" w:sz="2" w:space="0"/>
              <w:bottom w:val="single" w:color="auto" w:sz="2" w:space="0"/>
            </w:tcBorders>
            <w:noWrap/>
            <w:vAlign w:val="center"/>
          </w:tcPr>
          <w:p w14:paraId="2573DC35">
            <w:pPr>
              <w:widowControl/>
              <w:tabs>
                <w:tab w:val="left" w:pos="243"/>
                <w:tab w:val="center" w:pos="853"/>
              </w:tabs>
              <w:jc w:val="center"/>
              <w:textAlignment w:val="center"/>
              <w:rPr>
                <w:rFonts w:hint="eastAsia"/>
                <w:color w:val="000000"/>
              </w:rPr>
            </w:pPr>
            <w:r>
              <w:rPr>
                <w:rFonts w:hint="eastAsia" w:cs="宋体"/>
                <w:color w:val="000000"/>
                <w:kern w:val="0"/>
                <w:sz w:val="22"/>
              </w:rPr>
              <w:t>人民币</w:t>
            </w:r>
            <w:r>
              <w:rPr>
                <w:rFonts w:hint="eastAsia" w:cs="宋体"/>
                <w:color w:val="000000"/>
                <w:kern w:val="0"/>
                <w:sz w:val="22"/>
                <w:u w:val="single"/>
                <w:lang w:val="en-US" w:eastAsia="zh-CN"/>
              </w:rPr>
              <w:t xml:space="preserve"> 100000     </w:t>
            </w:r>
            <w:r>
              <w:rPr>
                <w:rFonts w:hint="eastAsia" w:cs="宋体"/>
                <w:color w:val="000000"/>
                <w:kern w:val="0"/>
                <w:sz w:val="22"/>
              </w:rPr>
              <w:t>元</w:t>
            </w:r>
          </w:p>
        </w:tc>
      </w:tr>
    </w:tbl>
    <w:p w14:paraId="053517A3">
      <w:pPr>
        <w:snapToGrid w:val="0"/>
        <w:spacing w:line="360" w:lineRule="auto"/>
        <w:ind w:firstLine="480" w:firstLineChars="200"/>
        <w:rPr>
          <w:rFonts w:hint="eastAsia" w:ascii="宋体" w:hAnsi="宋体"/>
          <w:szCs w:val="21"/>
          <w:lang w:val="en-US" w:eastAsia="zh-CN"/>
        </w:rPr>
      </w:pPr>
    </w:p>
    <w:p w14:paraId="28D56D27">
      <w:pPr>
        <w:numPr>
          <w:ilvl w:val="0"/>
          <w:numId w:val="3"/>
        </w:numPr>
        <w:rPr>
          <w:rFonts w:hint="eastAsia"/>
          <w:b/>
          <w:bCs/>
          <w:sz w:val="28"/>
          <w:szCs w:val="28"/>
        </w:rPr>
      </w:pPr>
      <w:r>
        <w:rPr>
          <w:rFonts w:hint="eastAsia"/>
          <w:b/>
          <w:bCs/>
          <w:sz w:val="28"/>
          <w:szCs w:val="28"/>
        </w:rPr>
        <w:t>项目概述</w:t>
      </w:r>
    </w:p>
    <w:p w14:paraId="13B6F033">
      <w:pPr>
        <w:ind w:firstLine="600" w:firstLineChars="200"/>
        <w:rPr>
          <w:rFonts w:hint="default" w:ascii="仿宋_GB2312" w:hAnsi="仿宋_GB2312" w:eastAsia="仿宋_GB2312" w:cs="仿宋_GB2312"/>
          <w:color w:val="0000FF"/>
          <w:sz w:val="30"/>
          <w:szCs w:val="30"/>
          <w:lang w:val="en-US" w:eastAsia="zh-CN"/>
        </w:rPr>
      </w:pPr>
      <w:r>
        <w:rPr>
          <w:rFonts w:hint="eastAsia" w:ascii="仿宋_GB2312" w:hAnsi="仿宋_GB2312" w:eastAsia="仿宋_GB2312" w:cs="仿宋_GB2312"/>
          <w:color w:val="0000FF"/>
          <w:sz w:val="30"/>
          <w:szCs w:val="30"/>
          <w:lang w:val="en-US" w:eastAsia="zh-CN"/>
        </w:rPr>
        <w:t>为满足《数据安全法》、《个人信息保护法》、《网络数据安全管理条例》及《信息安全技术 健康医疗数据安全指南》等国家和行业的法律法规要求；龙华中心医院亟待建设以医疗数据分类分级为基础的数据安全防护体系，鉴于核心业务系统数据量大且人工梳理难度大的现状，需借助数据安全分类分级服务帮助医院快速梳理复杂的核心、重要业务数据，如：患者信息、检验检查结果数据等。进而形成数据资产台账，以实现对敏感数据的快速梳理和医疗数据分类分级管理制度的精准实施。为后续医疗数据共享合规、数据安全防护措施的落地提供合理依据。</w:t>
      </w:r>
    </w:p>
    <w:p w14:paraId="27E86496">
      <w:pPr>
        <w:ind w:firstLine="482" w:firstLineChars="200"/>
        <w:rPr>
          <w:rFonts w:hint="eastAsia"/>
          <w:b/>
          <w:bCs/>
          <w:sz w:val="28"/>
          <w:szCs w:val="28"/>
        </w:rPr>
      </w:pPr>
      <w:r>
        <w:rPr>
          <w:rFonts w:hint="eastAsia" w:ascii="Arial" w:hAnsi="Arial"/>
          <w:b/>
          <w:bCs/>
          <w:color w:val="FF0000"/>
          <w:szCs w:val="24"/>
        </w:rPr>
        <w:t>报价要求：★本项目预算控制金额为</w:t>
      </w:r>
      <w:r>
        <w:rPr>
          <w:rFonts w:hint="eastAsia" w:ascii="Arial" w:hAnsi="Arial"/>
          <w:b/>
          <w:bCs/>
          <w:color w:val="FF0000"/>
          <w:szCs w:val="24"/>
          <w:u w:val="single"/>
        </w:rPr>
        <w:t xml:space="preserve"> </w:t>
      </w:r>
      <w:r>
        <w:rPr>
          <w:rFonts w:hint="eastAsia" w:ascii="Arial" w:hAnsi="Arial"/>
          <w:b/>
          <w:bCs/>
          <w:color w:val="FF0000"/>
          <w:szCs w:val="24"/>
          <w:u w:val="single"/>
          <w:lang w:val="en-US" w:eastAsia="zh-CN"/>
        </w:rPr>
        <w:t xml:space="preserve">  100000     </w:t>
      </w:r>
      <w:r>
        <w:rPr>
          <w:rFonts w:hint="eastAsia" w:ascii="Arial" w:hAnsi="Arial"/>
          <w:b/>
          <w:bCs/>
          <w:color w:val="FF0000"/>
          <w:szCs w:val="24"/>
          <w:u w:val="single"/>
        </w:rPr>
        <w:t>元</w:t>
      </w:r>
      <w:r>
        <w:rPr>
          <w:rFonts w:hint="eastAsia" w:ascii="Arial" w:hAnsi="Arial"/>
          <w:b/>
          <w:bCs/>
          <w:color w:val="FF0000"/>
          <w:szCs w:val="24"/>
        </w:rPr>
        <w:t>整，投标报价超出项目预算控制金额的将作投标无效处理。</w:t>
      </w:r>
      <w:r>
        <w:rPr>
          <w:rFonts w:ascii="Arial" w:hAnsi="Arial"/>
          <w:b/>
          <w:bCs/>
          <w:color w:val="FF0000"/>
          <w:szCs w:val="24"/>
        </w:rPr>
        <w:t>投标总价必须是完成该项目的一切费用总和，包括人工费、保险费、管理费、技术培训费、设备安装费、调试费、售后服务费、国家规定的各项税费等全部费用</w:t>
      </w:r>
      <w:r>
        <w:rPr>
          <w:rFonts w:hint="eastAsia" w:ascii="Arial" w:hAnsi="Arial"/>
          <w:b/>
          <w:bCs/>
          <w:color w:val="FF0000"/>
          <w:szCs w:val="24"/>
        </w:rPr>
        <w:t>。</w:t>
      </w:r>
    </w:p>
    <w:p w14:paraId="19679693">
      <w:pPr>
        <w:pStyle w:val="3"/>
        <w:numPr>
          <w:ilvl w:val="0"/>
          <w:numId w:val="4"/>
        </w:numPr>
        <w:rPr>
          <w:rFonts w:hint="eastAsia"/>
          <w:sz w:val="32"/>
          <w:szCs w:val="32"/>
        </w:rPr>
      </w:pPr>
      <w:r>
        <w:rPr>
          <w:rFonts w:hint="eastAsia"/>
          <w:sz w:val="32"/>
          <w:szCs w:val="32"/>
        </w:rPr>
        <w:t>技术</w:t>
      </w:r>
      <w:r>
        <w:rPr>
          <w:rFonts w:hint="eastAsia"/>
          <w:sz w:val="32"/>
          <w:szCs w:val="32"/>
          <w:lang w:val="en-US" w:eastAsia="zh-CN"/>
        </w:rPr>
        <w:t>服务</w:t>
      </w:r>
      <w:r>
        <w:rPr>
          <w:rFonts w:hint="eastAsia"/>
          <w:sz w:val="32"/>
          <w:szCs w:val="32"/>
        </w:rPr>
        <w:t>要求</w:t>
      </w:r>
    </w:p>
    <w:p w14:paraId="6297F0E6">
      <w:pPr>
        <w:ind w:firstLine="640" w:firstLineChars="200"/>
        <w:rPr>
          <w:rFonts w:hint="eastAsia" w:eastAsia="仿宋_GB2312"/>
          <w:kern w:val="0"/>
          <w:sz w:val="32"/>
          <w:szCs w:val="32"/>
        </w:rPr>
      </w:pPr>
      <w:r>
        <w:rPr>
          <w:rFonts w:hint="eastAsia" w:eastAsia="仿宋_GB2312"/>
          <w:kern w:val="0"/>
          <w:sz w:val="32"/>
          <w:szCs w:val="32"/>
          <w:highlight w:val="yellow"/>
        </w:rPr>
        <w:t>本项目服务期为：</w:t>
      </w:r>
      <w:r>
        <w:rPr>
          <w:rFonts w:hint="eastAsia" w:eastAsia="仿宋_GB2312"/>
          <w:kern w:val="0"/>
          <w:sz w:val="32"/>
          <w:szCs w:val="32"/>
          <w:highlight w:val="yellow"/>
          <w:lang w:val="en-US" w:eastAsia="zh-CN"/>
        </w:rPr>
        <w:t>90天</w:t>
      </w:r>
      <w:r>
        <w:rPr>
          <w:rFonts w:hint="eastAsia" w:eastAsia="仿宋_GB2312"/>
          <w:kern w:val="0"/>
          <w:sz w:val="32"/>
          <w:szCs w:val="32"/>
          <w:highlight w:val="yellow"/>
        </w:rPr>
        <w:t>。</w:t>
      </w:r>
    </w:p>
    <w:p w14:paraId="1F0174DE">
      <w:pPr>
        <w:ind w:firstLine="640" w:firstLineChars="200"/>
        <w:rPr>
          <w:rFonts w:hint="eastAsia" w:eastAsia="仿宋_GB2312"/>
          <w:kern w:val="0"/>
          <w:sz w:val="32"/>
          <w:szCs w:val="32"/>
        </w:rPr>
      </w:pPr>
      <w:r>
        <w:rPr>
          <w:rFonts w:hint="eastAsia" w:eastAsia="仿宋_GB2312"/>
          <w:kern w:val="0"/>
          <w:sz w:val="32"/>
          <w:szCs w:val="32"/>
        </w:rPr>
        <w:t>（一）项目依据</w:t>
      </w:r>
    </w:p>
    <w:p w14:paraId="0126ED3B">
      <w:pPr>
        <w:ind w:firstLine="640" w:firstLineChars="200"/>
        <w:rPr>
          <w:rFonts w:hint="eastAsia" w:eastAsia="仿宋_GB2312"/>
          <w:kern w:val="0"/>
          <w:sz w:val="32"/>
          <w:szCs w:val="32"/>
        </w:rPr>
      </w:pPr>
      <w:r>
        <w:rPr>
          <w:rFonts w:hint="eastAsia" w:eastAsia="仿宋_GB2312"/>
          <w:kern w:val="0"/>
          <w:sz w:val="32"/>
          <w:szCs w:val="32"/>
        </w:rPr>
        <w:t>《中华人民共和国网络安全法》</w:t>
      </w:r>
    </w:p>
    <w:p w14:paraId="7C791ABE">
      <w:pPr>
        <w:ind w:firstLine="640" w:firstLineChars="200"/>
        <w:rPr>
          <w:rFonts w:hint="eastAsia" w:eastAsia="仿宋_GB2312"/>
          <w:kern w:val="0"/>
          <w:sz w:val="32"/>
          <w:szCs w:val="32"/>
        </w:rPr>
      </w:pPr>
      <w:r>
        <w:rPr>
          <w:rFonts w:hint="eastAsia" w:eastAsia="仿宋_GB2312"/>
          <w:kern w:val="0"/>
          <w:sz w:val="32"/>
          <w:szCs w:val="32"/>
        </w:rPr>
        <w:t>《中华人民共和国数据安全法》</w:t>
      </w:r>
    </w:p>
    <w:p w14:paraId="4CFE3B4A">
      <w:pPr>
        <w:ind w:firstLine="640" w:firstLineChars="200"/>
        <w:rPr>
          <w:rFonts w:hint="eastAsia" w:eastAsia="仿宋_GB2312"/>
          <w:kern w:val="0"/>
          <w:sz w:val="32"/>
          <w:szCs w:val="32"/>
        </w:rPr>
      </w:pPr>
      <w:r>
        <w:rPr>
          <w:rFonts w:hint="eastAsia" w:eastAsia="仿宋_GB2312"/>
          <w:kern w:val="0"/>
          <w:sz w:val="32"/>
          <w:szCs w:val="32"/>
        </w:rPr>
        <w:t>《中华人民共和国个人信息保护法》</w:t>
      </w:r>
    </w:p>
    <w:p w14:paraId="748349E6">
      <w:pPr>
        <w:ind w:firstLine="640" w:firstLineChars="200"/>
        <w:rPr>
          <w:rFonts w:hint="eastAsia" w:eastAsia="仿宋_GB2312"/>
          <w:kern w:val="0"/>
          <w:sz w:val="32"/>
          <w:szCs w:val="32"/>
        </w:rPr>
      </w:pPr>
      <w:r>
        <w:rPr>
          <w:rFonts w:hint="eastAsia" w:eastAsia="仿宋_GB2312"/>
          <w:kern w:val="0"/>
          <w:sz w:val="32"/>
          <w:szCs w:val="32"/>
        </w:rPr>
        <w:t>《关键信息基础设施安全保护条例》</w:t>
      </w:r>
    </w:p>
    <w:p w14:paraId="6CA52CCC">
      <w:pPr>
        <w:ind w:firstLine="640" w:firstLineChars="200"/>
        <w:rPr>
          <w:rFonts w:hint="eastAsia" w:eastAsia="仿宋_GB2312"/>
          <w:kern w:val="0"/>
          <w:sz w:val="32"/>
          <w:szCs w:val="32"/>
        </w:rPr>
      </w:pPr>
      <w:r>
        <w:rPr>
          <w:rFonts w:hint="eastAsia" w:eastAsia="仿宋_GB2312"/>
          <w:kern w:val="0"/>
          <w:sz w:val="32"/>
          <w:szCs w:val="32"/>
        </w:rPr>
        <w:t>《网络数据安全管理条例》</w:t>
      </w:r>
    </w:p>
    <w:p w14:paraId="53EEB9E3">
      <w:pPr>
        <w:ind w:firstLine="640" w:firstLineChars="200"/>
        <w:rPr>
          <w:rFonts w:hint="eastAsia" w:eastAsia="仿宋_GB2312"/>
          <w:kern w:val="0"/>
          <w:sz w:val="32"/>
          <w:szCs w:val="32"/>
        </w:rPr>
      </w:pPr>
      <w:r>
        <w:rPr>
          <w:rFonts w:hint="eastAsia" w:eastAsia="仿宋_GB2312"/>
          <w:kern w:val="0"/>
          <w:sz w:val="32"/>
          <w:szCs w:val="32"/>
        </w:rPr>
        <w:t>《国家健康医疗大数据标准、安全和服务管理办法》</w:t>
      </w:r>
    </w:p>
    <w:p w14:paraId="3666EB46">
      <w:pPr>
        <w:ind w:firstLine="640" w:firstLineChars="200"/>
        <w:rPr>
          <w:rFonts w:hint="eastAsia" w:eastAsia="仿宋_GB2312"/>
          <w:kern w:val="0"/>
          <w:sz w:val="32"/>
          <w:szCs w:val="32"/>
        </w:rPr>
      </w:pPr>
      <w:r>
        <w:rPr>
          <w:rFonts w:hint="eastAsia" w:eastAsia="仿宋_GB2312"/>
          <w:kern w:val="0"/>
          <w:sz w:val="32"/>
          <w:szCs w:val="32"/>
        </w:rPr>
        <w:t>《医疗卫生机构网络安全管理办法》</w:t>
      </w:r>
    </w:p>
    <w:p w14:paraId="7715F0EA">
      <w:pPr>
        <w:ind w:firstLine="640" w:firstLineChars="200"/>
        <w:rPr>
          <w:rFonts w:hint="eastAsia" w:eastAsia="仿宋_GB2312"/>
          <w:kern w:val="0"/>
          <w:sz w:val="32"/>
          <w:szCs w:val="32"/>
        </w:rPr>
      </w:pPr>
      <w:r>
        <w:rPr>
          <w:rFonts w:hint="eastAsia" w:eastAsia="仿宋_GB2312"/>
          <w:kern w:val="0"/>
          <w:sz w:val="32"/>
          <w:szCs w:val="32"/>
        </w:rPr>
        <w:t>《卫生健康行业数据分类分级指南（试行）》</w:t>
      </w:r>
    </w:p>
    <w:p w14:paraId="2263238D">
      <w:pPr>
        <w:ind w:firstLine="640" w:firstLineChars="200"/>
        <w:rPr>
          <w:rFonts w:hint="eastAsia" w:eastAsia="仿宋_GB2312"/>
          <w:kern w:val="0"/>
          <w:sz w:val="32"/>
          <w:szCs w:val="32"/>
        </w:rPr>
      </w:pPr>
      <w:r>
        <w:rPr>
          <w:rFonts w:hint="eastAsia" w:eastAsia="仿宋_GB2312"/>
          <w:kern w:val="0"/>
          <w:sz w:val="32"/>
          <w:szCs w:val="32"/>
        </w:rPr>
        <w:t>《广东省卫生健康数据分类分级实施细则（征求意见稿）》</w:t>
      </w:r>
    </w:p>
    <w:p w14:paraId="1B3D66AD">
      <w:pPr>
        <w:ind w:firstLine="640" w:firstLineChars="200"/>
        <w:rPr>
          <w:rFonts w:hint="eastAsia" w:eastAsia="仿宋_GB2312"/>
          <w:kern w:val="0"/>
          <w:sz w:val="32"/>
          <w:szCs w:val="32"/>
        </w:rPr>
      </w:pPr>
      <w:r>
        <w:rPr>
          <w:rFonts w:hint="eastAsia" w:eastAsia="仿宋_GB2312"/>
          <w:kern w:val="0"/>
          <w:sz w:val="32"/>
          <w:szCs w:val="32"/>
        </w:rPr>
        <w:t>《互联网信息服务深度合成管理规定》</w:t>
      </w:r>
    </w:p>
    <w:p w14:paraId="22AB7DED">
      <w:pPr>
        <w:ind w:firstLine="640" w:firstLineChars="200"/>
        <w:rPr>
          <w:rFonts w:hint="eastAsia" w:eastAsia="仿宋_GB2312"/>
          <w:kern w:val="0"/>
          <w:sz w:val="32"/>
          <w:szCs w:val="32"/>
        </w:rPr>
      </w:pPr>
      <w:r>
        <w:rPr>
          <w:rFonts w:hint="eastAsia" w:eastAsia="仿宋_GB2312"/>
          <w:kern w:val="0"/>
          <w:sz w:val="32"/>
          <w:szCs w:val="32"/>
        </w:rPr>
        <w:t>《互联网信息服务算法推荐管理规定》</w:t>
      </w:r>
    </w:p>
    <w:p w14:paraId="571DF6D2">
      <w:pPr>
        <w:ind w:firstLine="640" w:firstLineChars="200"/>
        <w:rPr>
          <w:rFonts w:hint="eastAsia" w:eastAsia="仿宋_GB2312"/>
          <w:kern w:val="0"/>
          <w:sz w:val="32"/>
          <w:szCs w:val="32"/>
        </w:rPr>
      </w:pPr>
      <w:r>
        <w:rPr>
          <w:rFonts w:hint="eastAsia" w:eastAsia="仿宋_GB2312"/>
          <w:kern w:val="0"/>
          <w:sz w:val="32"/>
          <w:szCs w:val="32"/>
        </w:rPr>
        <w:t>《常见类型移动互联网应用程序必要个人信息范围规定》</w:t>
      </w:r>
    </w:p>
    <w:p w14:paraId="37967C93">
      <w:pPr>
        <w:ind w:firstLine="640" w:firstLineChars="200"/>
        <w:rPr>
          <w:rFonts w:hint="eastAsia" w:eastAsia="仿宋_GB2312"/>
          <w:kern w:val="0"/>
          <w:sz w:val="32"/>
          <w:szCs w:val="32"/>
        </w:rPr>
      </w:pPr>
      <w:r>
        <w:rPr>
          <w:rFonts w:hint="eastAsia" w:eastAsia="仿宋_GB2312"/>
          <w:kern w:val="0"/>
          <w:sz w:val="32"/>
          <w:szCs w:val="32"/>
        </w:rPr>
        <w:t>《数据安全技术 数据分类分级规则》（GB/T 43697—2024）</w:t>
      </w:r>
    </w:p>
    <w:p w14:paraId="0FAB4836">
      <w:pPr>
        <w:ind w:firstLine="640" w:firstLineChars="200"/>
        <w:rPr>
          <w:rFonts w:hint="eastAsia" w:eastAsia="仿宋_GB2312"/>
          <w:kern w:val="0"/>
          <w:sz w:val="32"/>
          <w:szCs w:val="32"/>
        </w:rPr>
      </w:pPr>
      <w:r>
        <w:rPr>
          <w:rFonts w:hint="eastAsia" w:eastAsia="仿宋_GB2312"/>
          <w:kern w:val="0"/>
          <w:sz w:val="32"/>
          <w:szCs w:val="32"/>
        </w:rPr>
        <w:t>《信息安全技术 健康医疗数据安全指南》（GB/T 39725-2020）</w:t>
      </w:r>
    </w:p>
    <w:p w14:paraId="2716CBB1">
      <w:pPr>
        <w:ind w:firstLine="640" w:firstLineChars="200"/>
        <w:rPr>
          <w:rFonts w:hint="eastAsia" w:eastAsia="仿宋_GB2312"/>
          <w:kern w:val="0"/>
          <w:sz w:val="32"/>
          <w:szCs w:val="32"/>
        </w:rPr>
      </w:pPr>
      <w:r>
        <w:rPr>
          <w:rFonts w:hint="eastAsia" w:eastAsia="仿宋_GB2312"/>
          <w:kern w:val="0"/>
          <w:sz w:val="32"/>
          <w:szCs w:val="32"/>
        </w:rPr>
        <w:t>《信息安全技术 个人信息安全规范》（GB-T 35273-2020）</w:t>
      </w:r>
    </w:p>
    <w:p w14:paraId="7D5B8038">
      <w:pPr>
        <w:ind w:firstLine="640" w:firstLineChars="200"/>
        <w:rPr>
          <w:rFonts w:hint="eastAsia" w:eastAsia="仿宋_GB2312"/>
          <w:kern w:val="0"/>
          <w:sz w:val="32"/>
          <w:szCs w:val="32"/>
        </w:rPr>
      </w:pPr>
      <w:r>
        <w:rPr>
          <w:rFonts w:hint="eastAsia" w:eastAsia="仿宋_GB2312"/>
          <w:kern w:val="0"/>
          <w:sz w:val="32"/>
          <w:szCs w:val="32"/>
        </w:rPr>
        <w:t>（二）项目工作内容</w:t>
      </w:r>
    </w:p>
    <w:p w14:paraId="16F44F7B">
      <w:pPr>
        <w:ind w:firstLine="640" w:firstLineChars="200"/>
        <w:rPr>
          <w:rFonts w:hint="eastAsia" w:eastAsia="仿宋_GB2312"/>
          <w:kern w:val="0"/>
          <w:sz w:val="32"/>
          <w:szCs w:val="32"/>
        </w:rPr>
      </w:pPr>
      <w:r>
        <w:rPr>
          <w:rFonts w:hint="eastAsia" w:eastAsia="仿宋_GB2312"/>
          <w:kern w:val="0"/>
          <w:sz w:val="32"/>
          <w:szCs w:val="32"/>
        </w:rPr>
        <w:t>数据安全分类分级服务</w:t>
      </w:r>
    </w:p>
    <w:p w14:paraId="7A584D08">
      <w:pPr>
        <w:ind w:firstLine="640" w:firstLineChars="200"/>
        <w:rPr>
          <w:rFonts w:hint="eastAsia" w:eastAsia="仿宋_GB2312"/>
          <w:kern w:val="0"/>
          <w:sz w:val="32"/>
          <w:szCs w:val="32"/>
        </w:rPr>
      </w:pPr>
      <w:r>
        <w:rPr>
          <w:rFonts w:hint="eastAsia" w:eastAsia="仿宋_GB2312"/>
          <w:kern w:val="0"/>
          <w:sz w:val="32"/>
          <w:szCs w:val="32"/>
        </w:rPr>
        <w:t>根据《数据安全法》、《个人信息保护法》、《医疗卫生机构网络安全管理办法》等国家、行业、地方相关法律法规、标准和指导意见，依据核心数据和重要数据识别要求，提供专业的数据安全分类分级咨询服务，制定既符合实际业务场景、又满足合规要求、可落地的数据分类分级实施和管理方案。</w:t>
      </w:r>
    </w:p>
    <w:p w14:paraId="746ED38E">
      <w:pPr>
        <w:ind w:firstLine="640" w:firstLineChars="200"/>
        <w:rPr>
          <w:rFonts w:hint="eastAsia" w:eastAsia="仿宋_GB2312"/>
          <w:kern w:val="0"/>
          <w:sz w:val="32"/>
          <w:szCs w:val="32"/>
        </w:rPr>
      </w:pPr>
      <w:r>
        <w:rPr>
          <w:rFonts w:hint="eastAsia" w:eastAsia="仿宋_GB2312"/>
          <w:kern w:val="0"/>
          <w:sz w:val="32"/>
          <w:szCs w:val="32"/>
        </w:rPr>
        <w:t>对数据库的数据资源信息进行梳理，梳理出数据库的种类、版本、管理信息、数据库实例、账号等信息；全面掌控现网内的数据库资源底数。</w:t>
      </w:r>
    </w:p>
    <w:p w14:paraId="7CAB0DAF">
      <w:pPr>
        <w:ind w:firstLine="640" w:firstLineChars="200"/>
        <w:rPr>
          <w:rFonts w:hint="eastAsia" w:eastAsia="仿宋_GB2312"/>
          <w:kern w:val="0"/>
          <w:sz w:val="32"/>
          <w:szCs w:val="32"/>
        </w:rPr>
      </w:pPr>
      <w:r>
        <w:rPr>
          <w:rFonts w:hint="eastAsia" w:eastAsia="仿宋_GB2312"/>
          <w:kern w:val="0"/>
          <w:sz w:val="32"/>
          <w:szCs w:val="32"/>
        </w:rPr>
        <w:t>在遵从GB/T 43697-2024《数据安全技术 数据分类分级规则》、《卫生健康行业数据分类分级指南（试行）》、</w:t>
      </w:r>
      <w:r>
        <w:rPr>
          <w:rFonts w:hint="eastAsia" w:eastAsia="仿宋_GB2312"/>
          <w:kern w:val="0"/>
          <w:sz w:val="32"/>
          <w:szCs w:val="32"/>
          <w:highlight w:val="none"/>
        </w:rPr>
        <w:t>《广东省卫生健康数据分类分级实施细则（征求意见稿）》</w:t>
      </w:r>
      <w:r>
        <w:rPr>
          <w:rFonts w:hint="eastAsia" w:eastAsia="仿宋_GB2312"/>
          <w:kern w:val="0"/>
          <w:sz w:val="32"/>
          <w:szCs w:val="32"/>
        </w:rPr>
        <w:t>以及核心数据和重要数据识别认定及相关国家、行业标准规范的基础上，对龙华区中心医院体检、实验室检验系统数据库的数据资源进行梳理，采用机器学习、大语言模型技术，全面实现敏感、重要数据精准识别和智能化分类分级，支持用户快速梳理数据资产，输出分类分级结果，提升实施效率、降低实施成本，输出《数据资产分类分级清单》、《重要及核心数据目录》、《数据分类分级管理办法》及《数据分类分级标准》等结果。</w:t>
      </w:r>
    </w:p>
    <w:p w14:paraId="156CDA59">
      <w:pPr>
        <w:ind w:firstLine="640" w:firstLineChars="200"/>
        <w:rPr>
          <w:rFonts w:hint="eastAsia" w:eastAsia="仿宋_GB2312"/>
          <w:kern w:val="0"/>
          <w:sz w:val="32"/>
          <w:szCs w:val="32"/>
        </w:rPr>
      </w:pPr>
      <w:r>
        <w:rPr>
          <w:rFonts w:hint="eastAsia" w:eastAsia="仿宋_GB2312"/>
          <w:kern w:val="0"/>
          <w:sz w:val="32"/>
          <w:szCs w:val="32"/>
        </w:rPr>
        <w:t>（三）服务成果</w:t>
      </w:r>
    </w:p>
    <w:p w14:paraId="5778513A">
      <w:pPr>
        <w:ind w:firstLine="640" w:firstLineChars="200"/>
        <w:rPr>
          <w:rFonts w:hint="eastAsia" w:eastAsia="仿宋_GB2312"/>
          <w:kern w:val="0"/>
          <w:sz w:val="32"/>
          <w:szCs w:val="32"/>
        </w:rPr>
      </w:pPr>
      <w:r>
        <w:rPr>
          <w:rFonts w:hint="eastAsia" w:eastAsia="仿宋_GB2312"/>
          <w:kern w:val="0"/>
          <w:sz w:val="32"/>
          <w:szCs w:val="32"/>
        </w:rPr>
        <w:t>本项目服务应提交以下成果：</w:t>
      </w:r>
    </w:p>
    <w:p w14:paraId="257FC732">
      <w:pPr>
        <w:ind w:firstLine="640" w:firstLineChars="200"/>
        <w:rPr>
          <w:rFonts w:hint="eastAsia" w:eastAsia="仿宋_GB2312"/>
          <w:kern w:val="0"/>
          <w:sz w:val="32"/>
          <w:szCs w:val="32"/>
        </w:rPr>
      </w:pPr>
      <w:r>
        <w:rPr>
          <w:rFonts w:hint="eastAsia" w:eastAsia="仿宋_GB2312"/>
          <w:kern w:val="0"/>
          <w:sz w:val="32"/>
          <w:szCs w:val="32"/>
        </w:rPr>
        <w:t>1）《数据资产分类分级清单》，包含数据一级、二级、三级和四级分类，数据级别，分类依据、分级依据，分类分级标准说明。</w:t>
      </w:r>
    </w:p>
    <w:p w14:paraId="56FA0926">
      <w:pPr>
        <w:ind w:firstLine="640" w:firstLineChars="200"/>
        <w:rPr>
          <w:rFonts w:hint="eastAsia" w:eastAsia="仿宋_GB2312"/>
          <w:kern w:val="0"/>
          <w:sz w:val="32"/>
          <w:szCs w:val="32"/>
        </w:rPr>
      </w:pPr>
      <w:r>
        <w:rPr>
          <w:rFonts w:hint="eastAsia" w:eastAsia="仿宋_GB2312"/>
          <w:kern w:val="0"/>
          <w:sz w:val="32"/>
          <w:szCs w:val="32"/>
        </w:rPr>
        <w:t>2）《重要及核心数据目录》，包含重要及核心数据划分依据，重要及核心数据划分结果。</w:t>
      </w:r>
    </w:p>
    <w:p w14:paraId="34826754">
      <w:pPr>
        <w:ind w:firstLine="640" w:firstLineChars="200"/>
        <w:rPr>
          <w:rFonts w:hint="eastAsia" w:eastAsia="仿宋_GB2312"/>
          <w:kern w:val="0"/>
          <w:sz w:val="32"/>
          <w:szCs w:val="32"/>
        </w:rPr>
      </w:pPr>
      <w:r>
        <w:rPr>
          <w:rFonts w:hint="eastAsia" w:eastAsia="仿宋_GB2312"/>
          <w:kern w:val="0"/>
          <w:sz w:val="32"/>
          <w:szCs w:val="32"/>
        </w:rPr>
        <w:t>3）《数据分类分级标准》，包含参考依据、数据类别及数据级别对应关系，细化数据分类至四级子类，数据四级分类举例说明。</w:t>
      </w:r>
    </w:p>
    <w:p w14:paraId="70DBCE86">
      <w:pPr>
        <w:ind w:firstLine="640" w:firstLineChars="200"/>
        <w:rPr>
          <w:rFonts w:hint="eastAsia" w:eastAsia="仿宋_GB2312"/>
          <w:kern w:val="0"/>
          <w:sz w:val="32"/>
          <w:szCs w:val="32"/>
        </w:rPr>
      </w:pPr>
      <w:r>
        <w:rPr>
          <w:rFonts w:hint="eastAsia" w:eastAsia="仿宋_GB2312"/>
          <w:kern w:val="0"/>
          <w:sz w:val="32"/>
          <w:szCs w:val="32"/>
        </w:rPr>
        <w:t>4）《数据分类分级管理办法》，包含医院的数据资源分类分级的一般原则、框架与方法。指导龙华中心医院开展数据资源分类分级管理工作，也可作为医院数据安全管理部门进行数据资源分类分级防护的参考。</w:t>
      </w:r>
    </w:p>
    <w:p w14:paraId="3FD44CCC">
      <w:pPr>
        <w:ind w:firstLine="640" w:firstLineChars="200"/>
        <w:rPr>
          <w:rFonts w:hint="eastAsia" w:eastAsia="仿宋_GB2312"/>
          <w:kern w:val="0"/>
          <w:sz w:val="32"/>
          <w:szCs w:val="32"/>
        </w:rPr>
      </w:pPr>
      <w:r>
        <w:rPr>
          <w:rFonts w:hint="eastAsia" w:eastAsia="仿宋_GB2312"/>
          <w:kern w:val="0"/>
          <w:sz w:val="32"/>
          <w:szCs w:val="32"/>
        </w:rPr>
        <w:t>（四）服务人员要求</w:t>
      </w:r>
    </w:p>
    <w:p w14:paraId="7E283CE1">
      <w:pPr>
        <w:ind w:firstLine="640" w:firstLineChars="200"/>
        <w:rPr>
          <w:rFonts w:hint="eastAsia" w:eastAsia="仿宋_GB2312"/>
          <w:kern w:val="0"/>
          <w:sz w:val="32"/>
          <w:szCs w:val="32"/>
        </w:rPr>
      </w:pPr>
      <w:r>
        <w:rPr>
          <w:rFonts w:hint="eastAsia" w:eastAsia="仿宋_GB2312"/>
          <w:kern w:val="0"/>
          <w:sz w:val="32"/>
          <w:szCs w:val="32"/>
        </w:rPr>
        <w:t>项目实施过程中实行专人专职原则，必须熟练掌握网络数据安全相关标准与规范，具备丰富的医疗数据分类分级服务工作经验，具有成熟的信息安全技术和项目管理能力，能够应对可能的突发性安全事件应急工作。</w:t>
      </w:r>
    </w:p>
    <w:p w14:paraId="714C3CAB">
      <w:pPr>
        <w:ind w:firstLine="640" w:firstLineChars="200"/>
        <w:rPr>
          <w:rFonts w:hint="eastAsia" w:eastAsia="仿宋_GB2312"/>
          <w:kern w:val="0"/>
          <w:sz w:val="32"/>
          <w:szCs w:val="32"/>
        </w:rPr>
      </w:pPr>
      <w:r>
        <w:rPr>
          <w:rFonts w:hint="eastAsia" w:eastAsia="仿宋_GB2312"/>
          <w:kern w:val="0"/>
          <w:sz w:val="32"/>
          <w:szCs w:val="32"/>
        </w:rPr>
        <w:t>（五）工具配备要求</w:t>
      </w:r>
    </w:p>
    <w:p w14:paraId="18C012F9">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为确保数据安全分类分级工作的效率和准确性，并满足数据不出域要求，实施团队</w:t>
      </w:r>
      <w:r>
        <w:rPr>
          <w:rFonts w:hint="eastAsia" w:eastAsia="仿宋_GB2312"/>
          <w:kern w:val="0"/>
          <w:sz w:val="32"/>
          <w:szCs w:val="32"/>
        </w:rPr>
        <w:t>必须单独配备</w:t>
      </w:r>
      <w:r>
        <w:rPr>
          <w:rFonts w:hint="eastAsia" w:eastAsia="仿宋_GB2312"/>
          <w:kern w:val="0"/>
          <w:sz w:val="32"/>
          <w:szCs w:val="32"/>
          <w:lang w:val="en-US" w:eastAsia="zh-CN"/>
        </w:rPr>
        <w:t>基于AI的数据安全分类分级</w:t>
      </w:r>
      <w:r>
        <w:rPr>
          <w:rFonts w:hint="eastAsia" w:eastAsia="仿宋_GB2312"/>
          <w:kern w:val="0"/>
          <w:sz w:val="32"/>
          <w:szCs w:val="32"/>
        </w:rPr>
        <w:t>工具，</w:t>
      </w:r>
      <w:r>
        <w:rPr>
          <w:rFonts w:hint="eastAsia" w:eastAsia="仿宋_GB2312"/>
          <w:kern w:val="0"/>
          <w:sz w:val="32"/>
          <w:szCs w:val="32"/>
          <w:lang w:val="en-US" w:eastAsia="zh-CN"/>
        </w:rPr>
        <w:t>部署在采购人提供的环境，通过API方式使用采购人提供的大模型接口服务。数据分类分级工具应满足以下功能要求：</w:t>
      </w:r>
    </w:p>
    <w:tbl>
      <w:tblPr>
        <w:tblStyle w:val="23"/>
        <w:tblW w:w="9852"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0"/>
        <w:gridCol w:w="1967"/>
        <w:gridCol w:w="6745"/>
      </w:tblGrid>
      <w:tr w14:paraId="5A33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40" w:type="dxa"/>
            <w:shd w:val="clear" w:color="auto" w:fill="auto"/>
            <w:vAlign w:val="center"/>
          </w:tcPr>
          <w:p w14:paraId="34D2D817">
            <w:pPr>
              <w:rPr>
                <w:rFonts w:hint="eastAsia" w:eastAsia="仿宋_GB2312"/>
                <w:kern w:val="0"/>
                <w:sz w:val="24"/>
                <w:szCs w:val="24"/>
                <w:lang w:val="en-US" w:eastAsia="zh-CN"/>
              </w:rPr>
            </w:pPr>
            <w:r>
              <w:rPr>
                <w:rFonts w:hint="eastAsia" w:eastAsia="仿宋_GB2312"/>
                <w:kern w:val="0"/>
                <w:sz w:val="24"/>
                <w:szCs w:val="24"/>
                <w:lang w:val="en-US" w:eastAsia="zh-CN"/>
              </w:rPr>
              <w:t>序号</w:t>
            </w:r>
          </w:p>
        </w:tc>
        <w:tc>
          <w:tcPr>
            <w:tcW w:w="1967" w:type="dxa"/>
            <w:shd w:val="clear" w:color="auto" w:fill="auto"/>
            <w:vAlign w:val="center"/>
          </w:tcPr>
          <w:p w14:paraId="15AD3E1F">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功能项</w:t>
            </w:r>
          </w:p>
        </w:tc>
        <w:tc>
          <w:tcPr>
            <w:tcW w:w="6745" w:type="dxa"/>
            <w:shd w:val="clear" w:color="auto" w:fill="auto"/>
            <w:vAlign w:val="center"/>
          </w:tcPr>
          <w:p w14:paraId="2B882D4C">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功能描述</w:t>
            </w:r>
          </w:p>
        </w:tc>
      </w:tr>
      <w:tr w14:paraId="4974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140" w:type="dxa"/>
            <w:shd w:val="clear" w:color="auto" w:fill="auto"/>
            <w:vAlign w:val="center"/>
          </w:tcPr>
          <w:p w14:paraId="387FC1C8">
            <w:pPr>
              <w:ind w:firstLine="480" w:firstLineChars="200"/>
              <w:rPr>
                <w:rFonts w:hint="eastAsia" w:eastAsia="仿宋_GB2312"/>
                <w:kern w:val="0"/>
                <w:sz w:val="24"/>
                <w:szCs w:val="24"/>
                <w:lang w:val="en-US" w:eastAsia="zh-CN"/>
              </w:rPr>
            </w:pPr>
            <w:r>
              <w:rPr>
                <w:rFonts w:hint="eastAsia" w:eastAsia="仿宋_GB2312"/>
                <w:kern w:val="0"/>
                <w:sz w:val="24"/>
                <w:szCs w:val="24"/>
              </w:rPr>
              <w:t>1</w:t>
            </w:r>
          </w:p>
        </w:tc>
        <w:tc>
          <w:tcPr>
            <w:tcW w:w="1967" w:type="dxa"/>
            <w:shd w:val="clear" w:color="auto" w:fill="auto"/>
            <w:vAlign w:val="center"/>
          </w:tcPr>
          <w:p w14:paraId="1EB17AFF">
            <w:pPr>
              <w:rPr>
                <w:rFonts w:hint="eastAsia" w:eastAsia="仿宋_GB2312"/>
                <w:kern w:val="0"/>
                <w:sz w:val="24"/>
                <w:szCs w:val="24"/>
                <w:lang w:val="en-US" w:eastAsia="zh-CN"/>
              </w:rPr>
            </w:pPr>
            <w:r>
              <w:rPr>
                <w:rFonts w:hint="eastAsia" w:eastAsia="仿宋_GB2312"/>
                <w:kern w:val="0"/>
                <w:sz w:val="24"/>
                <w:szCs w:val="24"/>
                <w:lang w:val="en-US" w:eastAsia="zh-CN"/>
              </w:rPr>
              <w:t>数据库数据源适配</w:t>
            </w:r>
          </w:p>
        </w:tc>
        <w:tc>
          <w:tcPr>
            <w:tcW w:w="6745" w:type="dxa"/>
            <w:shd w:val="clear" w:color="auto" w:fill="auto"/>
            <w:vAlign w:val="center"/>
          </w:tcPr>
          <w:p w14:paraId="57A0BCF3">
            <w:pPr>
              <w:ind w:firstLine="480" w:firstLineChars="200"/>
              <w:rPr>
                <w:rFonts w:hint="eastAsia" w:eastAsia="仿宋_GB2312"/>
                <w:kern w:val="0"/>
                <w:sz w:val="24"/>
                <w:szCs w:val="24"/>
                <w:lang w:val="en-US" w:eastAsia="zh-CN"/>
              </w:rPr>
            </w:pPr>
            <w:r>
              <w:rPr>
                <w:rFonts w:hint="eastAsia" w:eastAsia="仿宋_GB2312"/>
                <w:kern w:val="0"/>
                <w:sz w:val="24"/>
                <w:szCs w:val="24"/>
              </w:rPr>
              <w:t>支持数据库类型包括但不限于Mysql、Sql server、PostgreSQL、Gbase、达梦DM、Oracle、Clickhouse、Hive、人大金仓、神通、Hbase、Impala、Mongodb、Mariadb、Tidb、Redis、Elasticsearch等</w:t>
            </w:r>
            <w:r>
              <w:rPr>
                <w:rFonts w:hint="eastAsia" w:eastAsia="仿宋_GB2312"/>
                <w:kern w:val="0"/>
                <w:sz w:val="24"/>
                <w:szCs w:val="24"/>
                <w:lang w:eastAsia="zh-CN"/>
              </w:rPr>
              <w:t>。</w:t>
            </w:r>
          </w:p>
        </w:tc>
      </w:tr>
      <w:tr w14:paraId="653D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6EC4A8DE">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2</w:t>
            </w:r>
          </w:p>
        </w:tc>
        <w:tc>
          <w:tcPr>
            <w:tcW w:w="1967" w:type="dxa"/>
            <w:shd w:val="clear" w:color="auto" w:fill="auto"/>
            <w:vAlign w:val="center"/>
          </w:tcPr>
          <w:p w14:paraId="431580BB">
            <w:pPr>
              <w:rPr>
                <w:rFonts w:hint="eastAsia" w:eastAsia="仿宋_GB2312"/>
                <w:kern w:val="0"/>
                <w:sz w:val="24"/>
                <w:szCs w:val="24"/>
                <w:lang w:val="en-US" w:eastAsia="zh-CN"/>
              </w:rPr>
            </w:pPr>
            <w:r>
              <w:rPr>
                <w:rFonts w:hint="eastAsia" w:eastAsia="仿宋_GB2312"/>
                <w:kern w:val="0"/>
                <w:sz w:val="24"/>
                <w:szCs w:val="24"/>
                <w:lang w:val="en-US" w:eastAsia="zh-CN"/>
              </w:rPr>
              <w:t>数据源关系梳理</w:t>
            </w:r>
          </w:p>
        </w:tc>
        <w:tc>
          <w:tcPr>
            <w:tcW w:w="6745" w:type="dxa"/>
            <w:shd w:val="clear" w:color="auto" w:fill="auto"/>
            <w:vAlign w:val="center"/>
          </w:tcPr>
          <w:p w14:paraId="1680E19A">
            <w:pPr>
              <w:ind w:firstLine="480" w:firstLineChars="200"/>
              <w:rPr>
                <w:rFonts w:hint="eastAsia" w:eastAsia="仿宋_GB2312"/>
                <w:kern w:val="0"/>
                <w:sz w:val="24"/>
                <w:szCs w:val="24"/>
                <w:lang w:val="en-US" w:eastAsia="zh-CN"/>
              </w:rPr>
            </w:pPr>
            <w:r>
              <w:rPr>
                <w:rFonts w:hint="eastAsia" w:eastAsia="仿宋_GB2312"/>
                <w:kern w:val="0"/>
                <w:sz w:val="24"/>
                <w:szCs w:val="24"/>
              </w:rPr>
              <w:t>支持以可视化的方式对数据库目录进行展示，包含信息</w:t>
            </w:r>
            <w:r>
              <w:rPr>
                <w:rFonts w:hint="eastAsia" w:eastAsia="仿宋_GB2312"/>
                <w:kern w:val="0"/>
                <w:sz w:val="24"/>
                <w:szCs w:val="24"/>
                <w:lang w:eastAsia="zh-CN"/>
              </w:rPr>
              <w:t>：</w:t>
            </w:r>
            <w:r>
              <w:rPr>
                <w:rFonts w:hint="eastAsia" w:eastAsia="仿宋_GB2312"/>
                <w:kern w:val="0"/>
                <w:sz w:val="24"/>
                <w:szCs w:val="24"/>
              </w:rPr>
              <w:t>数据库名称、实例、字段名、字段注释、表名称、表注释、数据数量、IP、端口、数据所有者、数据管理者</w:t>
            </w:r>
            <w:r>
              <w:rPr>
                <w:rFonts w:hint="eastAsia" w:eastAsia="仿宋_GB2312"/>
                <w:kern w:val="0"/>
                <w:sz w:val="24"/>
                <w:szCs w:val="24"/>
                <w:lang w:eastAsia="zh-CN"/>
              </w:rPr>
              <w:t>。</w:t>
            </w:r>
            <w:r>
              <w:rPr>
                <w:rFonts w:hint="eastAsia" w:eastAsia="仿宋_GB2312"/>
                <w:kern w:val="0"/>
                <w:sz w:val="24"/>
                <w:szCs w:val="24"/>
                <w:lang w:val="en-US" w:eastAsia="zh-CN"/>
              </w:rPr>
              <w:t>（需提供功能截图）</w:t>
            </w:r>
          </w:p>
        </w:tc>
      </w:tr>
      <w:tr w14:paraId="3F8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2099D9D6">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3</w:t>
            </w:r>
          </w:p>
        </w:tc>
        <w:tc>
          <w:tcPr>
            <w:tcW w:w="1967" w:type="dxa"/>
            <w:shd w:val="clear" w:color="auto" w:fill="auto"/>
            <w:vAlign w:val="center"/>
          </w:tcPr>
          <w:p w14:paraId="7CDD54B9">
            <w:pPr>
              <w:rPr>
                <w:rFonts w:hint="eastAsia" w:eastAsia="仿宋_GB2312"/>
                <w:kern w:val="0"/>
                <w:sz w:val="24"/>
                <w:szCs w:val="24"/>
                <w:lang w:val="en-US" w:eastAsia="zh-CN"/>
              </w:rPr>
            </w:pPr>
            <w:r>
              <w:rPr>
                <w:rFonts w:hint="eastAsia" w:eastAsia="仿宋_GB2312"/>
                <w:kern w:val="0"/>
                <w:sz w:val="24"/>
                <w:szCs w:val="24"/>
                <w:lang w:val="en-US" w:eastAsia="zh-CN"/>
              </w:rPr>
              <w:t>数据类别级别定义</w:t>
            </w:r>
          </w:p>
        </w:tc>
        <w:tc>
          <w:tcPr>
            <w:tcW w:w="6745" w:type="dxa"/>
            <w:shd w:val="clear" w:color="auto" w:fill="auto"/>
            <w:vAlign w:val="center"/>
          </w:tcPr>
          <w:p w14:paraId="68AEB5B7">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支持通过界面管理行业的数据分类/分级模板，包括数据类别/级别的新增、删除、修改；支持统一管理分级因素信息。</w:t>
            </w:r>
          </w:p>
        </w:tc>
      </w:tr>
      <w:tr w14:paraId="4A18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6BA5E60D">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4</w:t>
            </w:r>
          </w:p>
        </w:tc>
        <w:tc>
          <w:tcPr>
            <w:tcW w:w="1967" w:type="dxa"/>
            <w:shd w:val="clear" w:color="auto" w:fill="auto"/>
            <w:vAlign w:val="center"/>
          </w:tcPr>
          <w:p w14:paraId="2F038859">
            <w:pPr>
              <w:rPr>
                <w:rFonts w:hint="eastAsia" w:eastAsia="仿宋_GB2312"/>
                <w:kern w:val="0"/>
                <w:sz w:val="24"/>
                <w:szCs w:val="24"/>
                <w:lang w:val="en-US" w:eastAsia="zh-CN"/>
              </w:rPr>
            </w:pPr>
            <w:r>
              <w:rPr>
                <w:rFonts w:hint="eastAsia" w:eastAsia="仿宋_GB2312"/>
                <w:kern w:val="0"/>
                <w:sz w:val="24"/>
                <w:szCs w:val="24"/>
                <w:lang w:val="en-US" w:eastAsia="zh-CN"/>
              </w:rPr>
              <w:t>分类分级规则定义</w:t>
            </w:r>
          </w:p>
        </w:tc>
        <w:tc>
          <w:tcPr>
            <w:tcW w:w="6745" w:type="dxa"/>
            <w:shd w:val="clear" w:color="auto" w:fill="auto"/>
            <w:vAlign w:val="center"/>
          </w:tcPr>
          <w:p w14:paraId="153C5F90">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内置敏感类型：手机号、座机号、公积金、道路运输经营许可证号、军密认证号、车牌号、医师执业证书编号、医师资格证书编号、营业执照、银行卡号、开户许可证号、税务登记证号、组织机构名称、组织机构代码、地址、姓名、邮政编码、身份证号、日期、字符串、中国护照、社会信用代码、军官证号、永久居住证号、台湾同胞大陆通行证号、港澳通行证号、电子邮箱、IP地址等。（提供具备CMA标识的第三方检测报告证明，并加盖原厂公章）</w:t>
            </w:r>
          </w:p>
        </w:tc>
      </w:tr>
      <w:tr w14:paraId="124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6D8CE6B5">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5</w:t>
            </w:r>
          </w:p>
        </w:tc>
        <w:tc>
          <w:tcPr>
            <w:tcW w:w="1967" w:type="dxa"/>
            <w:shd w:val="clear" w:color="auto" w:fill="auto"/>
            <w:vAlign w:val="center"/>
          </w:tcPr>
          <w:p w14:paraId="0F192BAB">
            <w:pPr>
              <w:rPr>
                <w:rFonts w:hint="eastAsia" w:eastAsia="仿宋_GB2312"/>
                <w:kern w:val="0"/>
                <w:sz w:val="24"/>
                <w:szCs w:val="24"/>
              </w:rPr>
            </w:pPr>
            <w:r>
              <w:rPr>
                <w:rFonts w:hint="eastAsia" w:eastAsia="仿宋_GB2312"/>
                <w:kern w:val="0"/>
                <w:sz w:val="24"/>
                <w:szCs w:val="24"/>
                <w:lang w:val="en-US" w:eastAsia="zh-CN"/>
              </w:rPr>
              <w:t>分类分级扫描任务</w:t>
            </w:r>
          </w:p>
        </w:tc>
        <w:tc>
          <w:tcPr>
            <w:tcW w:w="6745" w:type="dxa"/>
            <w:shd w:val="clear" w:color="auto" w:fill="auto"/>
            <w:vAlign w:val="center"/>
          </w:tcPr>
          <w:p w14:paraId="195F512C">
            <w:pPr>
              <w:ind w:firstLine="480" w:firstLineChars="200"/>
              <w:rPr>
                <w:rFonts w:hint="eastAsia" w:eastAsia="仿宋_GB2312"/>
                <w:kern w:val="0"/>
                <w:sz w:val="24"/>
                <w:szCs w:val="24"/>
              </w:rPr>
            </w:pPr>
            <w:r>
              <w:rPr>
                <w:rFonts w:hint="eastAsia" w:eastAsia="仿宋_GB2312"/>
                <w:kern w:val="0"/>
                <w:sz w:val="24"/>
                <w:szCs w:val="24"/>
                <w:lang w:val="en-US" w:eastAsia="zh-CN"/>
              </w:rPr>
              <w:t>数据库分类分级扫描任务，支持配置引擎类型，包括模型、规则，支持配置文件下载线程数、文件推送线程数、指定行数、抽样比例、命中率。（需提供功能截图）</w:t>
            </w:r>
          </w:p>
        </w:tc>
      </w:tr>
      <w:tr w14:paraId="574F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shd w:val="clear" w:color="auto" w:fill="auto"/>
            <w:vAlign w:val="center"/>
          </w:tcPr>
          <w:p w14:paraId="5726D634">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6</w:t>
            </w:r>
          </w:p>
        </w:tc>
        <w:tc>
          <w:tcPr>
            <w:tcW w:w="1967" w:type="dxa"/>
            <w:shd w:val="clear" w:color="auto" w:fill="auto"/>
            <w:vAlign w:val="center"/>
          </w:tcPr>
          <w:p w14:paraId="165FBBEE">
            <w:pPr>
              <w:rPr>
                <w:rFonts w:hint="eastAsia" w:eastAsia="仿宋_GB2312"/>
                <w:kern w:val="0"/>
                <w:sz w:val="24"/>
                <w:szCs w:val="24"/>
                <w:lang w:val="en-US" w:eastAsia="zh-CN"/>
              </w:rPr>
            </w:pPr>
            <w:r>
              <w:rPr>
                <w:rFonts w:hint="eastAsia" w:eastAsia="仿宋_GB2312"/>
                <w:kern w:val="0"/>
                <w:sz w:val="24"/>
                <w:szCs w:val="24"/>
                <w:lang w:val="en-US" w:eastAsia="zh-CN"/>
              </w:rPr>
              <w:t>政策分析智能体</w:t>
            </w:r>
          </w:p>
        </w:tc>
        <w:tc>
          <w:tcPr>
            <w:tcW w:w="6745" w:type="dxa"/>
            <w:shd w:val="clear" w:color="auto" w:fill="auto"/>
            <w:vAlign w:val="center"/>
          </w:tcPr>
          <w:p w14:paraId="2ADBE24A">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提供智能问答窗口，要求支持基于已经发布的法律、政策、行业标准进行提问，AI-政策分析智能体可以进行推理、回答问题。（需提供功能截图）</w:t>
            </w:r>
          </w:p>
        </w:tc>
      </w:tr>
      <w:tr w14:paraId="6344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1AAE92EE">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7</w:t>
            </w:r>
          </w:p>
        </w:tc>
        <w:tc>
          <w:tcPr>
            <w:tcW w:w="1967" w:type="dxa"/>
            <w:shd w:val="clear" w:color="auto" w:fill="auto"/>
            <w:vAlign w:val="center"/>
          </w:tcPr>
          <w:p w14:paraId="162AE495">
            <w:pPr>
              <w:rPr>
                <w:rFonts w:hint="eastAsia" w:eastAsia="仿宋_GB2312"/>
                <w:kern w:val="0"/>
                <w:sz w:val="24"/>
                <w:szCs w:val="24"/>
                <w:lang w:val="en-US" w:eastAsia="zh-CN"/>
              </w:rPr>
            </w:pPr>
            <w:r>
              <w:rPr>
                <w:rFonts w:hint="eastAsia" w:eastAsia="仿宋_GB2312"/>
                <w:kern w:val="0"/>
                <w:sz w:val="24"/>
                <w:szCs w:val="24"/>
                <w:lang w:val="en-US" w:eastAsia="zh-CN"/>
              </w:rPr>
              <w:t>数据库注释生成智能体</w:t>
            </w:r>
          </w:p>
        </w:tc>
        <w:tc>
          <w:tcPr>
            <w:tcW w:w="6745" w:type="dxa"/>
            <w:shd w:val="clear" w:color="auto" w:fill="auto"/>
            <w:vAlign w:val="center"/>
          </w:tcPr>
          <w:p w14:paraId="67714C56">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提供智能问答窗口，支持输入已有的数据库表名、字段名信息，AI-数据库注释生成智能体可以自动生成表的注释解读信息。（提供具备CMA标识的第三方检测报告证明，并加盖原厂公章）</w:t>
            </w:r>
          </w:p>
        </w:tc>
      </w:tr>
      <w:tr w14:paraId="1D33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25493C73">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8</w:t>
            </w:r>
          </w:p>
        </w:tc>
        <w:tc>
          <w:tcPr>
            <w:tcW w:w="1967" w:type="dxa"/>
            <w:shd w:val="clear" w:color="auto" w:fill="auto"/>
            <w:vAlign w:val="center"/>
          </w:tcPr>
          <w:p w14:paraId="4477ADE4">
            <w:pPr>
              <w:rPr>
                <w:rFonts w:hint="eastAsia" w:eastAsia="仿宋_GB2312"/>
                <w:kern w:val="0"/>
                <w:sz w:val="24"/>
                <w:szCs w:val="24"/>
                <w:lang w:val="en-US" w:eastAsia="zh-CN"/>
              </w:rPr>
            </w:pPr>
            <w:r>
              <w:rPr>
                <w:rFonts w:hint="eastAsia" w:eastAsia="仿宋_GB2312"/>
                <w:kern w:val="0"/>
                <w:sz w:val="24"/>
                <w:szCs w:val="24"/>
                <w:lang w:val="en-US" w:eastAsia="zh-CN"/>
              </w:rPr>
              <w:t>提示词编写智能体</w:t>
            </w:r>
          </w:p>
        </w:tc>
        <w:tc>
          <w:tcPr>
            <w:tcW w:w="6745" w:type="dxa"/>
            <w:shd w:val="clear" w:color="auto" w:fill="auto"/>
            <w:vAlign w:val="center"/>
          </w:tcPr>
          <w:p w14:paraId="43C4C2D7">
            <w:pPr>
              <w:ind w:firstLine="480" w:firstLineChars="200"/>
              <w:rPr>
                <w:rFonts w:hint="eastAsia" w:eastAsia="仿宋_GB2312"/>
                <w:kern w:val="0"/>
                <w:sz w:val="24"/>
                <w:szCs w:val="24"/>
                <w:lang w:val="en-US" w:eastAsia="zh-CN"/>
              </w:rPr>
            </w:pPr>
            <w:r>
              <w:rPr>
                <w:rFonts w:hint="eastAsia" w:eastAsia="仿宋_GB2312"/>
                <w:kern w:val="0"/>
                <w:sz w:val="24"/>
                <w:szCs w:val="24"/>
                <w:lang w:eastAsia="zh-CN"/>
              </w:rPr>
              <w:t>▲提供智能问答窗口，支持输入需要编写提示词的数据类别，AI-提示词编写智能体可以自动生成对应类别的解读信息。</w:t>
            </w:r>
            <w:r>
              <w:rPr>
                <w:rFonts w:hint="eastAsia" w:eastAsia="仿宋_GB2312"/>
                <w:kern w:val="0"/>
                <w:sz w:val="24"/>
                <w:szCs w:val="24"/>
                <w:lang w:val="en-US" w:eastAsia="zh-CN"/>
              </w:rPr>
              <w:t>（提供具备CMA标识的第三方检测报告证明，并加盖原厂公章）</w:t>
            </w:r>
          </w:p>
        </w:tc>
      </w:tr>
      <w:tr w14:paraId="0872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12F97495">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9</w:t>
            </w:r>
          </w:p>
        </w:tc>
        <w:tc>
          <w:tcPr>
            <w:tcW w:w="1967" w:type="dxa"/>
            <w:shd w:val="clear" w:color="auto" w:fill="auto"/>
            <w:vAlign w:val="center"/>
          </w:tcPr>
          <w:p w14:paraId="769EFACF">
            <w:pPr>
              <w:rPr>
                <w:rFonts w:hint="eastAsia" w:eastAsia="仿宋_GB2312"/>
                <w:kern w:val="0"/>
                <w:sz w:val="24"/>
                <w:szCs w:val="24"/>
                <w:lang w:val="en-US" w:eastAsia="zh-CN"/>
              </w:rPr>
            </w:pPr>
            <w:r>
              <w:rPr>
                <w:rFonts w:hint="eastAsia" w:eastAsia="仿宋_GB2312"/>
                <w:kern w:val="0"/>
                <w:sz w:val="24"/>
                <w:szCs w:val="24"/>
                <w:lang w:val="en-US" w:eastAsia="zh-CN"/>
              </w:rPr>
              <w:t>数据基本内容识别</w:t>
            </w:r>
          </w:p>
        </w:tc>
        <w:tc>
          <w:tcPr>
            <w:tcW w:w="6745" w:type="dxa"/>
            <w:shd w:val="clear" w:color="auto" w:fill="auto"/>
            <w:vAlign w:val="center"/>
          </w:tcPr>
          <w:p w14:paraId="67EE3D31">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支持规则组定义，包括关键词“与”、关键词“或”、关键词“非”、正则表达式的自有组合；支持关键词、正则表达式的格式验证；支持规则组策略的启用配置。</w:t>
            </w:r>
          </w:p>
        </w:tc>
      </w:tr>
      <w:tr w14:paraId="22AE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104A6024">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10</w:t>
            </w:r>
          </w:p>
        </w:tc>
        <w:tc>
          <w:tcPr>
            <w:tcW w:w="1967" w:type="dxa"/>
            <w:shd w:val="clear" w:color="auto" w:fill="auto"/>
            <w:vAlign w:val="center"/>
          </w:tcPr>
          <w:p w14:paraId="4FB1E941">
            <w:pPr>
              <w:rPr>
                <w:rFonts w:hint="eastAsia" w:eastAsia="仿宋_GB2312"/>
                <w:kern w:val="0"/>
                <w:sz w:val="24"/>
                <w:szCs w:val="24"/>
                <w:lang w:val="en-US" w:eastAsia="zh-CN"/>
              </w:rPr>
            </w:pPr>
            <w:r>
              <w:rPr>
                <w:rFonts w:hint="eastAsia" w:eastAsia="仿宋_GB2312"/>
                <w:kern w:val="0"/>
                <w:sz w:val="24"/>
                <w:szCs w:val="24"/>
                <w:lang w:val="en-US" w:eastAsia="zh-CN"/>
              </w:rPr>
              <w:t>数据编码识别</w:t>
            </w:r>
          </w:p>
        </w:tc>
        <w:tc>
          <w:tcPr>
            <w:tcW w:w="6745" w:type="dxa"/>
            <w:shd w:val="clear" w:color="auto" w:fill="auto"/>
            <w:vAlign w:val="center"/>
          </w:tcPr>
          <w:p w14:paraId="122E0CFE">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支持不同编码格式，包括但不限于：Unicode、GBK、UTF-8等；支持简体中文与繁体中文的内容识别与解析；支持英文识别。</w:t>
            </w:r>
          </w:p>
        </w:tc>
      </w:tr>
      <w:tr w14:paraId="2A5D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3FC36AF4">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11</w:t>
            </w:r>
          </w:p>
        </w:tc>
        <w:tc>
          <w:tcPr>
            <w:tcW w:w="1967" w:type="dxa"/>
            <w:shd w:val="clear" w:color="auto" w:fill="auto"/>
            <w:vAlign w:val="center"/>
          </w:tcPr>
          <w:p w14:paraId="369C91D9">
            <w:pPr>
              <w:rPr>
                <w:rFonts w:hint="eastAsia" w:eastAsia="仿宋_GB2312"/>
                <w:kern w:val="0"/>
                <w:sz w:val="24"/>
                <w:szCs w:val="24"/>
                <w:lang w:val="en-US" w:eastAsia="zh-CN"/>
              </w:rPr>
            </w:pPr>
            <w:r>
              <w:rPr>
                <w:rFonts w:hint="eastAsia" w:eastAsia="仿宋_GB2312"/>
                <w:kern w:val="0"/>
                <w:sz w:val="24"/>
                <w:szCs w:val="24"/>
                <w:lang w:val="en-US" w:eastAsia="zh-CN"/>
              </w:rPr>
              <w:t>数据库注释生成</w:t>
            </w:r>
          </w:p>
        </w:tc>
        <w:tc>
          <w:tcPr>
            <w:tcW w:w="6745" w:type="dxa"/>
            <w:shd w:val="clear" w:color="auto" w:fill="auto"/>
            <w:vAlign w:val="center"/>
          </w:tcPr>
          <w:p w14:paraId="3E9FC120">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按照业务系统批量生成数据库注释，并且能够查看业务系统表数量、表注释数量、表注释去重数量、表注释填充率、字段适量、字段注释数量、字段注释去重数量、字段注释填充率、注释生成进度。（提供具备CMA标识的第三方检测报告证明，并加盖原厂公章）</w:t>
            </w:r>
          </w:p>
        </w:tc>
      </w:tr>
      <w:tr w14:paraId="0FE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65D32581">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12</w:t>
            </w:r>
          </w:p>
        </w:tc>
        <w:tc>
          <w:tcPr>
            <w:tcW w:w="1967" w:type="dxa"/>
            <w:shd w:val="clear" w:color="auto" w:fill="auto"/>
            <w:vAlign w:val="center"/>
          </w:tcPr>
          <w:p w14:paraId="44C352C8">
            <w:pPr>
              <w:rPr>
                <w:rFonts w:hint="eastAsia" w:eastAsia="仿宋_GB2312"/>
                <w:kern w:val="0"/>
                <w:sz w:val="24"/>
                <w:szCs w:val="24"/>
                <w:lang w:val="en-US" w:eastAsia="zh-CN"/>
              </w:rPr>
            </w:pPr>
            <w:r>
              <w:rPr>
                <w:rFonts w:hint="eastAsia" w:eastAsia="仿宋_GB2312"/>
                <w:kern w:val="0"/>
                <w:sz w:val="24"/>
                <w:szCs w:val="24"/>
                <w:lang w:val="en-US" w:eastAsia="zh-CN"/>
              </w:rPr>
              <w:t>数据库业务含义分析</w:t>
            </w:r>
          </w:p>
        </w:tc>
        <w:tc>
          <w:tcPr>
            <w:tcW w:w="6745" w:type="dxa"/>
            <w:shd w:val="clear" w:color="auto" w:fill="auto"/>
            <w:vAlign w:val="center"/>
          </w:tcPr>
          <w:p w14:paraId="1ABDDFA8">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支持分析数据库的业务含义，从业务信息中提取关键内容到知识库，也支持根据业务定义新增数据分类。（提供具备CMA标识的第三方检测报告证明，并加盖原厂公章）</w:t>
            </w:r>
          </w:p>
        </w:tc>
      </w:tr>
      <w:tr w14:paraId="1FC8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6DB50DA9">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13</w:t>
            </w:r>
          </w:p>
        </w:tc>
        <w:tc>
          <w:tcPr>
            <w:tcW w:w="1967" w:type="dxa"/>
            <w:shd w:val="clear" w:color="auto" w:fill="auto"/>
            <w:vAlign w:val="center"/>
          </w:tcPr>
          <w:p w14:paraId="3D4F249D">
            <w:pPr>
              <w:rPr>
                <w:rFonts w:hint="eastAsia" w:eastAsia="仿宋_GB2312"/>
                <w:kern w:val="0"/>
                <w:sz w:val="24"/>
                <w:szCs w:val="24"/>
                <w:lang w:val="en-US" w:eastAsia="zh-CN"/>
              </w:rPr>
            </w:pPr>
            <w:r>
              <w:rPr>
                <w:rFonts w:hint="eastAsia" w:eastAsia="仿宋_GB2312"/>
                <w:kern w:val="0"/>
                <w:sz w:val="24"/>
                <w:szCs w:val="24"/>
                <w:lang w:val="en-US" w:eastAsia="zh-CN"/>
              </w:rPr>
              <w:t>数据分类结果核验</w:t>
            </w:r>
          </w:p>
        </w:tc>
        <w:tc>
          <w:tcPr>
            <w:tcW w:w="6745" w:type="dxa"/>
            <w:shd w:val="clear" w:color="auto" w:fill="auto"/>
            <w:vAlign w:val="center"/>
          </w:tcPr>
          <w:p w14:paraId="3281629C">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下发文件数据库模型的验证任务，支持按照数据库名称、表名称下发验证任务；支持新建数据库分类结果核验轮次，支持多轮核验，且可以提供每一轮的核验结果报告，且核验结果报告支持以excel格式的导出。（提供具备CMA标识的第三方检测报告证明，并加盖原厂公章）</w:t>
            </w:r>
          </w:p>
        </w:tc>
      </w:tr>
      <w:tr w14:paraId="57D7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6CBD1697">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14</w:t>
            </w:r>
          </w:p>
        </w:tc>
        <w:tc>
          <w:tcPr>
            <w:tcW w:w="1967" w:type="dxa"/>
            <w:shd w:val="clear" w:color="auto" w:fill="auto"/>
            <w:vAlign w:val="center"/>
          </w:tcPr>
          <w:p w14:paraId="07F7B523">
            <w:pPr>
              <w:rPr>
                <w:rFonts w:hint="eastAsia" w:eastAsia="仿宋_GB2312"/>
                <w:kern w:val="0"/>
                <w:sz w:val="24"/>
                <w:szCs w:val="24"/>
                <w:lang w:val="en-US" w:eastAsia="zh-CN"/>
              </w:rPr>
            </w:pPr>
            <w:r>
              <w:rPr>
                <w:rFonts w:hint="eastAsia" w:eastAsia="仿宋_GB2312"/>
                <w:kern w:val="0"/>
                <w:sz w:val="24"/>
                <w:szCs w:val="24"/>
                <w:lang w:val="en-US" w:eastAsia="zh-CN"/>
              </w:rPr>
              <w:t>分类分级结果展示</w:t>
            </w:r>
          </w:p>
        </w:tc>
        <w:tc>
          <w:tcPr>
            <w:tcW w:w="6745" w:type="dxa"/>
            <w:shd w:val="clear" w:color="auto" w:fill="auto"/>
            <w:vAlign w:val="center"/>
          </w:tcPr>
          <w:p w14:paraId="55857C26">
            <w:pPr>
              <w:ind w:firstLine="480" w:firstLineChars="200"/>
              <w:rPr>
                <w:rFonts w:hint="eastAsia" w:eastAsia="仿宋_GB2312"/>
                <w:kern w:val="0"/>
                <w:sz w:val="24"/>
                <w:szCs w:val="24"/>
                <w:lang w:val="en-US" w:eastAsia="zh-CN"/>
              </w:rPr>
            </w:pPr>
            <w:r>
              <w:rPr>
                <w:rFonts w:hint="eastAsia" w:eastAsia="仿宋_GB2312"/>
                <w:kern w:val="0"/>
                <w:sz w:val="24"/>
                <w:szCs w:val="24"/>
              </w:rPr>
              <w:t>支持数据分类分级</w:t>
            </w:r>
            <w:r>
              <w:rPr>
                <w:rFonts w:hint="eastAsia" w:eastAsia="仿宋_GB2312"/>
                <w:kern w:val="0"/>
                <w:sz w:val="24"/>
                <w:szCs w:val="24"/>
                <w:lang w:val="en-US" w:eastAsia="zh-CN"/>
              </w:rPr>
              <w:t>结果分析</w:t>
            </w:r>
            <w:r>
              <w:rPr>
                <w:rFonts w:hint="eastAsia" w:eastAsia="仿宋_GB2312"/>
                <w:kern w:val="0"/>
                <w:sz w:val="24"/>
                <w:szCs w:val="24"/>
              </w:rPr>
              <w:t>，包含分类分级的部门、业务系统、文件数量、数据库表数量、数据库字段数量、总数据类</w:t>
            </w:r>
            <w:r>
              <w:rPr>
                <w:rFonts w:hint="eastAsia" w:eastAsia="仿宋_GB2312"/>
                <w:kern w:val="0"/>
                <w:sz w:val="24"/>
                <w:szCs w:val="24"/>
                <w:lang w:val="en-US" w:eastAsia="zh-CN"/>
              </w:rPr>
              <w:t>别</w:t>
            </w:r>
            <w:r>
              <w:rPr>
                <w:rFonts w:hint="eastAsia" w:eastAsia="仿宋_GB2312"/>
                <w:kern w:val="0"/>
                <w:sz w:val="24"/>
                <w:szCs w:val="24"/>
              </w:rPr>
              <w:t>、已</w:t>
            </w:r>
            <w:r>
              <w:rPr>
                <w:rFonts w:hint="eastAsia" w:eastAsia="仿宋_GB2312"/>
                <w:kern w:val="0"/>
                <w:sz w:val="24"/>
                <w:szCs w:val="24"/>
                <w:lang w:val="en-US" w:eastAsia="zh-CN"/>
              </w:rPr>
              <w:t>打标</w:t>
            </w:r>
            <w:r>
              <w:rPr>
                <w:rFonts w:hint="eastAsia" w:eastAsia="仿宋_GB2312"/>
                <w:kern w:val="0"/>
                <w:sz w:val="24"/>
                <w:szCs w:val="24"/>
              </w:rPr>
              <w:t>数据类型、</w:t>
            </w:r>
            <w:r>
              <w:rPr>
                <w:rFonts w:hint="eastAsia" w:eastAsia="仿宋_GB2312"/>
                <w:kern w:val="0"/>
                <w:sz w:val="24"/>
                <w:szCs w:val="24"/>
                <w:lang w:val="en-US" w:eastAsia="zh-CN"/>
              </w:rPr>
              <w:t>已打标表数量</w:t>
            </w:r>
            <w:r>
              <w:rPr>
                <w:rFonts w:hint="eastAsia" w:eastAsia="仿宋_GB2312"/>
                <w:kern w:val="0"/>
                <w:sz w:val="24"/>
                <w:szCs w:val="24"/>
              </w:rPr>
              <w:t>、</w:t>
            </w:r>
            <w:r>
              <w:rPr>
                <w:rFonts w:hint="eastAsia" w:eastAsia="仿宋_GB2312"/>
                <w:kern w:val="0"/>
                <w:sz w:val="24"/>
                <w:szCs w:val="24"/>
                <w:lang w:val="en-US" w:eastAsia="zh-CN"/>
              </w:rPr>
              <w:t>已打标字段数量、已打标数据数量</w:t>
            </w:r>
            <w:r>
              <w:rPr>
                <w:rFonts w:hint="eastAsia" w:eastAsia="仿宋_GB2312"/>
                <w:kern w:val="0"/>
                <w:sz w:val="24"/>
                <w:szCs w:val="24"/>
              </w:rPr>
              <w:t>、</w:t>
            </w:r>
            <w:r>
              <w:rPr>
                <w:rFonts w:hint="eastAsia" w:eastAsia="仿宋_GB2312"/>
                <w:kern w:val="0"/>
                <w:sz w:val="24"/>
                <w:szCs w:val="24"/>
                <w:lang w:val="en-US" w:eastAsia="zh-CN"/>
              </w:rPr>
              <w:t>已打标文件数量、</w:t>
            </w:r>
            <w:r>
              <w:rPr>
                <w:rFonts w:hint="eastAsia" w:eastAsia="仿宋_GB2312"/>
                <w:kern w:val="0"/>
                <w:sz w:val="24"/>
                <w:szCs w:val="24"/>
              </w:rPr>
              <w:t>数据类别TOP10、数据级别分布、业务系统数据统计等信息</w:t>
            </w:r>
            <w:r>
              <w:rPr>
                <w:rFonts w:hint="eastAsia" w:eastAsia="仿宋_GB2312"/>
                <w:kern w:val="0"/>
                <w:sz w:val="24"/>
                <w:szCs w:val="24"/>
                <w:lang w:eastAsia="zh-CN"/>
              </w:rPr>
              <w:t>，</w:t>
            </w:r>
            <w:r>
              <w:rPr>
                <w:rFonts w:hint="eastAsia" w:eastAsia="仿宋_GB2312"/>
                <w:kern w:val="0"/>
                <w:sz w:val="24"/>
                <w:szCs w:val="24"/>
                <w:lang w:val="en-US" w:eastAsia="zh-CN"/>
              </w:rPr>
              <w:t>并支持文件、数据库两种角度的切换展示。（需提供功能截图）</w:t>
            </w:r>
          </w:p>
        </w:tc>
      </w:tr>
      <w:tr w14:paraId="5FFD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426FE0CB">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15</w:t>
            </w:r>
          </w:p>
        </w:tc>
        <w:tc>
          <w:tcPr>
            <w:tcW w:w="1967" w:type="dxa"/>
            <w:shd w:val="clear" w:color="auto" w:fill="auto"/>
            <w:vAlign w:val="center"/>
          </w:tcPr>
          <w:p w14:paraId="0C8F4F59">
            <w:pPr>
              <w:rPr>
                <w:rFonts w:hint="eastAsia" w:eastAsia="仿宋_GB2312"/>
                <w:kern w:val="0"/>
                <w:sz w:val="24"/>
                <w:szCs w:val="24"/>
                <w:lang w:val="en-US" w:eastAsia="zh-CN"/>
              </w:rPr>
            </w:pPr>
            <w:r>
              <w:rPr>
                <w:rFonts w:hint="eastAsia" w:eastAsia="仿宋_GB2312"/>
                <w:kern w:val="0"/>
                <w:sz w:val="24"/>
                <w:szCs w:val="24"/>
                <w:lang w:val="en-US" w:eastAsia="zh-CN"/>
              </w:rPr>
              <w:t>分类分级结果导出</w:t>
            </w:r>
          </w:p>
        </w:tc>
        <w:tc>
          <w:tcPr>
            <w:tcW w:w="6745" w:type="dxa"/>
            <w:shd w:val="clear" w:color="auto" w:fill="auto"/>
            <w:vAlign w:val="center"/>
          </w:tcPr>
          <w:p w14:paraId="5F0CCDFF">
            <w:pPr>
              <w:ind w:firstLine="480" w:firstLineChars="200"/>
              <w:rPr>
                <w:rFonts w:hint="eastAsia" w:eastAsia="仿宋_GB2312"/>
                <w:kern w:val="0"/>
                <w:sz w:val="24"/>
                <w:szCs w:val="24"/>
                <w:lang w:eastAsia="zh-CN"/>
              </w:rPr>
            </w:pPr>
            <w:r>
              <w:rPr>
                <w:rFonts w:hint="eastAsia" w:eastAsia="仿宋_GB2312"/>
                <w:kern w:val="0"/>
                <w:sz w:val="24"/>
                <w:szCs w:val="24"/>
              </w:rPr>
              <w:t>具备分类分级结果清单导出的能力</w:t>
            </w:r>
            <w:r>
              <w:rPr>
                <w:rFonts w:hint="eastAsia" w:eastAsia="仿宋_GB2312"/>
                <w:kern w:val="0"/>
                <w:sz w:val="24"/>
                <w:szCs w:val="24"/>
                <w:lang w:eastAsia="zh-CN"/>
              </w:rPr>
              <w:t>。</w:t>
            </w:r>
          </w:p>
        </w:tc>
      </w:tr>
      <w:tr w14:paraId="2975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shd w:val="clear" w:color="auto" w:fill="auto"/>
            <w:vAlign w:val="center"/>
          </w:tcPr>
          <w:p w14:paraId="7BF3CB6B">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16</w:t>
            </w:r>
          </w:p>
        </w:tc>
        <w:tc>
          <w:tcPr>
            <w:tcW w:w="1967" w:type="dxa"/>
            <w:shd w:val="clear" w:color="auto" w:fill="auto"/>
            <w:vAlign w:val="center"/>
          </w:tcPr>
          <w:p w14:paraId="11B21ECA">
            <w:pPr>
              <w:rPr>
                <w:rFonts w:hint="eastAsia" w:eastAsia="仿宋_GB2312"/>
                <w:kern w:val="0"/>
                <w:sz w:val="24"/>
                <w:szCs w:val="24"/>
                <w:lang w:val="en-US" w:eastAsia="zh-CN"/>
              </w:rPr>
            </w:pPr>
            <w:r>
              <w:rPr>
                <w:rFonts w:hint="eastAsia" w:eastAsia="仿宋_GB2312"/>
                <w:kern w:val="0"/>
                <w:sz w:val="24"/>
                <w:szCs w:val="24"/>
                <w:lang w:val="en-US" w:eastAsia="zh-CN"/>
              </w:rPr>
              <w:t>分类分级结果共享</w:t>
            </w:r>
          </w:p>
        </w:tc>
        <w:tc>
          <w:tcPr>
            <w:tcW w:w="6745" w:type="dxa"/>
            <w:shd w:val="clear" w:color="auto" w:fill="auto"/>
            <w:vAlign w:val="center"/>
          </w:tcPr>
          <w:p w14:paraId="5AFF1ADA">
            <w:pPr>
              <w:ind w:firstLine="480" w:firstLineChars="200"/>
              <w:rPr>
                <w:rFonts w:hint="eastAsia" w:eastAsia="仿宋_GB2312"/>
                <w:kern w:val="0"/>
                <w:sz w:val="24"/>
                <w:szCs w:val="24"/>
                <w:lang w:val="en-US" w:eastAsia="zh-CN"/>
              </w:rPr>
            </w:pPr>
            <w:r>
              <w:rPr>
                <w:rFonts w:hint="eastAsia" w:eastAsia="仿宋_GB2312"/>
                <w:kern w:val="0"/>
                <w:sz w:val="24"/>
                <w:szCs w:val="24"/>
                <w:lang w:val="en-US" w:eastAsia="zh-CN"/>
              </w:rPr>
              <w:t>支持提供完整的对接接口方案以及标准接口文档，能与其他系统进行交互。</w:t>
            </w:r>
          </w:p>
        </w:tc>
      </w:tr>
    </w:tbl>
    <w:p w14:paraId="2164D06B">
      <w:pPr>
        <w:rPr>
          <w:rFonts w:hint="eastAsia" w:eastAsia="仿宋_GB2312"/>
          <w:kern w:val="0"/>
          <w:sz w:val="32"/>
          <w:szCs w:val="32"/>
        </w:rPr>
      </w:pPr>
    </w:p>
    <w:p w14:paraId="60800985">
      <w:pPr>
        <w:ind w:firstLine="640" w:firstLineChars="200"/>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六</w:t>
      </w:r>
      <w:r>
        <w:rPr>
          <w:rFonts w:hint="eastAsia" w:eastAsia="仿宋_GB2312"/>
          <w:kern w:val="0"/>
          <w:sz w:val="32"/>
          <w:szCs w:val="32"/>
          <w:lang w:eastAsia="zh-CN"/>
        </w:rPr>
        <w:t>）</w:t>
      </w:r>
      <w:r>
        <w:rPr>
          <w:rFonts w:hint="eastAsia" w:eastAsia="仿宋_GB2312"/>
          <w:kern w:val="0"/>
          <w:sz w:val="32"/>
          <w:szCs w:val="32"/>
        </w:rPr>
        <w:t>、验收要求</w:t>
      </w:r>
    </w:p>
    <w:p w14:paraId="2AFA0AAF">
      <w:pPr>
        <w:ind w:firstLine="640" w:firstLineChars="200"/>
        <w:rPr>
          <w:rFonts w:hint="eastAsia" w:eastAsia="仿宋_GB2312"/>
          <w:kern w:val="0"/>
          <w:sz w:val="32"/>
          <w:szCs w:val="32"/>
        </w:rPr>
      </w:pPr>
      <w:r>
        <w:rPr>
          <w:rFonts w:hint="eastAsia" w:eastAsia="仿宋_GB2312"/>
          <w:kern w:val="0"/>
          <w:sz w:val="32"/>
          <w:szCs w:val="32"/>
        </w:rPr>
        <w:t>服务期</w:t>
      </w:r>
      <w:r>
        <w:rPr>
          <w:rFonts w:hint="eastAsia" w:eastAsia="仿宋_GB2312"/>
          <w:kern w:val="0"/>
          <w:sz w:val="32"/>
          <w:szCs w:val="32"/>
          <w:lang w:val="en-US" w:eastAsia="zh-CN"/>
        </w:rPr>
        <w:t>内完成龙华中心医院体检、实验室检验系统的数据分类分级工作输出上述（三）服务成果交付物</w:t>
      </w:r>
      <w:r>
        <w:rPr>
          <w:rFonts w:hint="eastAsia" w:eastAsia="仿宋_GB2312"/>
          <w:kern w:val="0"/>
          <w:sz w:val="32"/>
          <w:szCs w:val="32"/>
        </w:rPr>
        <w:t>，</w:t>
      </w:r>
      <w:r>
        <w:rPr>
          <w:rFonts w:hint="eastAsia" w:eastAsia="仿宋_GB2312"/>
          <w:kern w:val="0"/>
          <w:sz w:val="32"/>
          <w:szCs w:val="32"/>
          <w:lang w:val="en-US" w:eastAsia="zh-CN"/>
        </w:rPr>
        <w:t>客户验收通过后</w:t>
      </w:r>
      <w:r>
        <w:rPr>
          <w:rFonts w:hint="eastAsia" w:eastAsia="仿宋_GB2312"/>
          <w:kern w:val="0"/>
          <w:sz w:val="32"/>
          <w:szCs w:val="32"/>
        </w:rPr>
        <w:t>提交验收报告，经院方核实签字后验收。</w:t>
      </w:r>
    </w:p>
    <w:p w14:paraId="5578AD78">
      <w:pPr>
        <w:pStyle w:val="40"/>
        <w:numPr>
          <w:ilvl w:val="0"/>
          <w:numId w:val="4"/>
        </w:numPr>
        <w:tabs>
          <w:tab w:val="left" w:pos="312"/>
        </w:tabs>
        <w:ind w:firstLineChars="0"/>
        <w:rPr>
          <w:b/>
          <w:bCs/>
          <w:sz w:val="28"/>
          <w:szCs w:val="28"/>
        </w:rPr>
      </w:pPr>
      <w:r>
        <w:rPr>
          <w:rFonts w:hint="eastAsia"/>
          <w:b/>
          <w:bCs/>
          <w:sz w:val="28"/>
          <w:szCs w:val="28"/>
        </w:rPr>
        <w:t>商务要求</w:t>
      </w:r>
    </w:p>
    <w:p w14:paraId="11A3C2E4">
      <w:pPr>
        <w:ind w:firstLine="640" w:firstLineChars="200"/>
        <w:rPr>
          <w:rFonts w:hint="eastAsia" w:eastAsia="仿宋_GB2312"/>
          <w:kern w:val="0"/>
          <w:sz w:val="32"/>
          <w:szCs w:val="32"/>
          <w:highlight w:val="yellow"/>
        </w:rPr>
      </w:pPr>
      <w:r>
        <w:rPr>
          <w:rFonts w:hint="eastAsia" w:eastAsia="仿宋_GB2312"/>
          <w:kern w:val="0"/>
          <w:sz w:val="32"/>
          <w:szCs w:val="32"/>
        </w:rPr>
        <w:t>1、服务期：</w:t>
      </w:r>
      <w:r>
        <w:rPr>
          <w:rFonts w:hint="eastAsia" w:eastAsia="仿宋_GB2312"/>
          <w:kern w:val="0"/>
          <w:sz w:val="32"/>
          <w:szCs w:val="32"/>
          <w:highlight w:val="yellow"/>
        </w:rPr>
        <w:t>合同签订后</w:t>
      </w:r>
      <w:r>
        <w:rPr>
          <w:rFonts w:hint="eastAsia" w:eastAsia="仿宋_GB2312"/>
          <w:kern w:val="0"/>
          <w:sz w:val="32"/>
          <w:szCs w:val="32"/>
          <w:highlight w:val="yellow"/>
          <w:lang w:val="en-US" w:eastAsia="zh-CN"/>
        </w:rPr>
        <w:t>90天</w:t>
      </w:r>
      <w:r>
        <w:rPr>
          <w:rFonts w:hint="eastAsia" w:eastAsia="仿宋_GB2312"/>
          <w:kern w:val="0"/>
          <w:sz w:val="32"/>
          <w:szCs w:val="32"/>
          <w:highlight w:val="yellow"/>
        </w:rPr>
        <w:t>。</w:t>
      </w:r>
    </w:p>
    <w:p w14:paraId="527866B0">
      <w:pPr>
        <w:ind w:firstLine="640" w:firstLineChars="200"/>
        <w:rPr>
          <w:rFonts w:hint="eastAsia" w:eastAsia="仿宋_GB2312"/>
          <w:kern w:val="0"/>
          <w:sz w:val="32"/>
          <w:szCs w:val="32"/>
        </w:rPr>
      </w:pPr>
      <w:r>
        <w:rPr>
          <w:rFonts w:hint="eastAsia" w:eastAsia="仿宋_GB2312"/>
          <w:kern w:val="0"/>
          <w:sz w:val="32"/>
          <w:szCs w:val="32"/>
        </w:rPr>
        <w:t>2、项目付款方式</w:t>
      </w:r>
      <w:bookmarkStart w:id="3" w:name="_GoBack"/>
      <w:bookmarkEnd w:id="3"/>
    </w:p>
    <w:p w14:paraId="7008612D">
      <w:pPr>
        <w:ind w:firstLine="640" w:firstLineChars="200"/>
        <w:rPr>
          <w:rFonts w:hint="eastAsia" w:eastAsia="仿宋_GB2312"/>
          <w:kern w:val="0"/>
          <w:sz w:val="32"/>
          <w:szCs w:val="32"/>
        </w:rPr>
      </w:pPr>
      <w:r>
        <w:rPr>
          <w:rFonts w:hint="eastAsia" w:eastAsia="仿宋_GB2312"/>
          <w:kern w:val="0"/>
          <w:sz w:val="32"/>
          <w:szCs w:val="32"/>
        </w:rPr>
        <w:t>本项目按以下付款方式执行：签订合同后支付50%，服务</w:t>
      </w:r>
      <w:r>
        <w:rPr>
          <w:rFonts w:hint="eastAsia" w:eastAsia="仿宋_GB2312"/>
          <w:kern w:val="0"/>
          <w:sz w:val="32"/>
          <w:szCs w:val="32"/>
          <w:lang w:val="en-US" w:eastAsia="zh-CN"/>
        </w:rPr>
        <w:t>完成验收</w:t>
      </w:r>
      <w:r>
        <w:rPr>
          <w:rFonts w:hint="eastAsia" w:eastAsia="仿宋_GB2312"/>
          <w:kern w:val="0"/>
          <w:sz w:val="32"/>
          <w:szCs w:val="32"/>
        </w:rPr>
        <w:t>后支付</w:t>
      </w:r>
      <w:r>
        <w:rPr>
          <w:rFonts w:hint="eastAsia" w:eastAsia="仿宋_GB2312"/>
          <w:kern w:val="0"/>
          <w:sz w:val="32"/>
          <w:szCs w:val="32"/>
          <w:lang w:val="en-US" w:eastAsia="zh-CN"/>
        </w:rPr>
        <w:t>5</w:t>
      </w:r>
      <w:r>
        <w:rPr>
          <w:rFonts w:hint="eastAsia" w:eastAsia="仿宋_GB2312"/>
          <w:kern w:val="0"/>
          <w:sz w:val="32"/>
          <w:szCs w:val="32"/>
        </w:rPr>
        <w:t>0%。</w:t>
      </w:r>
    </w:p>
    <w:p w14:paraId="60A85F43">
      <w:pPr>
        <w:rPr>
          <w:rFonts w:hint="eastAsia"/>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C325">
    <w:pPr>
      <w:pStyle w:val="1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222250"/>
              <wp:effectExtent l="0" t="0" r="0" b="0"/>
              <wp:wrapNone/>
              <wp:docPr id="1255349578"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857885" cy="222250"/>
                      </a:xfrm>
                      <a:prstGeom prst="rect">
                        <a:avLst/>
                      </a:prstGeom>
                      <a:noFill/>
                      <a:ln>
                        <a:noFill/>
                      </a:ln>
                    </wps:spPr>
                    <wps:txbx>
                      <w:txbxContent>
                        <w:p w14:paraId="0CF9E004">
                          <w:pPr>
                            <w:pStyle w:val="16"/>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7.5pt;width:67.55pt;mso-position-horizontal:center;mso-position-horizontal-relative:margin;mso-wrap-style:none;z-index:251659264;mso-width-relative:page;mso-height-relative:page;" filled="f" stroked="f" coordsize="21600,21600" o:gfxdata="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Hb1vzSAAAABAEAAA8AAAAAAAAAAQAgAAAAIgAAAGRycy9kb3ducmV2&#10;LnhtbFBLAQIUABQAAAAIAIdO4kAbv0GPAgIAAA0EAAAOAAAAAAAAAAEAIAAAACEBAABkcnMvZTJv&#10;RG9jLnhtbFBLBQYAAAAABgAGAFkBAACVBQAAAAA=&#10;">
              <v:fill on="f" focussize="0,0"/>
              <v:stroke on="f"/>
              <v:imagedata o:title=""/>
              <o:lock v:ext="edit" aspectratio="f"/>
              <v:textbox inset="0mm,0mm,0mm,0mm" style="mso-fit-shape-to-text:t;">
                <w:txbxContent>
                  <w:p w14:paraId="0CF9E004">
                    <w:pPr>
                      <w:pStyle w:val="16"/>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1663A"/>
    <w:multiLevelType w:val="singleLevel"/>
    <w:tmpl w:val="E4E1663A"/>
    <w:lvl w:ilvl="0" w:tentative="0">
      <w:start w:val="1"/>
      <w:numFmt w:val="chineseCounting"/>
      <w:suff w:val="nothing"/>
      <w:lvlText w:val="%1、"/>
      <w:lvlJc w:val="left"/>
      <w:rPr>
        <w:rFonts w:hint="eastAsia"/>
      </w:rPr>
    </w:lvl>
  </w:abstractNum>
  <w:abstractNum w:abstractNumId="1">
    <w:nsid w:val="0299FB15"/>
    <w:multiLevelType w:val="singleLevel"/>
    <w:tmpl w:val="0299FB15"/>
    <w:lvl w:ilvl="0" w:tentative="0">
      <w:start w:val="1"/>
      <w:numFmt w:val="decimal"/>
      <w:lvlText w:val="%1."/>
      <w:lvlJc w:val="left"/>
      <w:pPr>
        <w:tabs>
          <w:tab w:val="left" w:pos="312"/>
        </w:tabs>
      </w:pPr>
    </w:lvl>
  </w:abstractNum>
  <w:abstractNum w:abstractNumId="2">
    <w:nsid w:val="59751DEF"/>
    <w:multiLevelType w:val="multilevel"/>
    <w:tmpl w:val="59751DEF"/>
    <w:lvl w:ilvl="0" w:tentative="0">
      <w:start w:val="1"/>
      <w:numFmt w:val="decimal"/>
      <w:pStyle w:val="3"/>
      <w:lvlText w:val="%1"/>
      <w:lvlJc w:val="left"/>
      <w:pPr>
        <w:tabs>
          <w:tab w:val="left" w:pos="425"/>
        </w:tabs>
        <w:ind w:left="425" w:hanging="425"/>
      </w:pPr>
      <w:rPr>
        <w:rFonts w:hint="eastAsia"/>
      </w:rPr>
    </w:lvl>
    <w:lvl w:ilvl="1" w:tentative="0">
      <w:start w:val="1"/>
      <w:numFmt w:val="decimal"/>
      <w:pStyle w:val="2"/>
      <w:lvlText w:val="%1.%2"/>
      <w:lvlJc w:val="left"/>
      <w:pPr>
        <w:tabs>
          <w:tab w:val="left" w:pos="2836"/>
        </w:tabs>
        <w:ind w:left="2836" w:hanging="567"/>
      </w:pPr>
      <w:rPr>
        <w:rFonts w:hint="eastAsia"/>
      </w:rPr>
    </w:lvl>
    <w:lvl w:ilvl="2" w:tentative="0">
      <w:start w:val="1"/>
      <w:numFmt w:val="decimal"/>
      <w:pStyle w:val="6"/>
      <w:lvlText w:val="%1.%2.%3"/>
      <w:lvlJc w:val="left"/>
      <w:pPr>
        <w:tabs>
          <w:tab w:val="left" w:pos="1418"/>
        </w:tabs>
        <w:ind w:left="1418" w:hanging="567"/>
      </w:pPr>
      <w:rPr>
        <w:rFonts w:hint="eastAsia"/>
      </w:rPr>
    </w:lvl>
    <w:lvl w:ilvl="3" w:tentative="0">
      <w:start w:val="1"/>
      <w:numFmt w:val="decimal"/>
      <w:pStyle w:val="7"/>
      <w:lvlText w:val="%1.%2.%3.%4"/>
      <w:lvlJc w:val="left"/>
      <w:pPr>
        <w:tabs>
          <w:tab w:val="left" w:pos="1984"/>
        </w:tabs>
        <w:ind w:left="1984" w:hanging="708"/>
      </w:pPr>
      <w:rPr>
        <w:rFonts w:hint="eastAsia"/>
      </w:rPr>
    </w:lvl>
    <w:lvl w:ilvl="4" w:tentative="0">
      <w:start w:val="1"/>
      <w:numFmt w:val="decimal"/>
      <w:pStyle w:val="8"/>
      <w:lvlText w:val="%1.%2.%3.%4.%5"/>
      <w:lvlJc w:val="left"/>
      <w:pPr>
        <w:tabs>
          <w:tab w:val="left" w:pos="2552"/>
        </w:tabs>
        <w:ind w:left="2551" w:hanging="850"/>
      </w:pPr>
      <w:rPr>
        <w:rFonts w:hint="eastAsia"/>
      </w:rPr>
    </w:lvl>
    <w:lvl w:ilvl="5" w:tentative="0">
      <w:start w:val="1"/>
      <w:numFmt w:val="decimal"/>
      <w:pStyle w:val="9"/>
      <w:lvlText w:val="%1.%2.%3.%4.%5.%6"/>
      <w:lvlJc w:val="left"/>
      <w:pPr>
        <w:tabs>
          <w:tab w:val="left" w:pos="3260"/>
        </w:tabs>
        <w:ind w:left="3260" w:hanging="1134"/>
      </w:pPr>
      <w:rPr>
        <w:rFonts w:hint="eastAsia"/>
      </w:rPr>
    </w:lvl>
    <w:lvl w:ilvl="6" w:tentative="0">
      <w:start w:val="1"/>
      <w:numFmt w:val="decimal"/>
      <w:pStyle w:val="10"/>
      <w:lvlText w:val="%1.%2.%3.%4.%5.%6.%7"/>
      <w:lvlJc w:val="left"/>
      <w:pPr>
        <w:tabs>
          <w:tab w:val="left" w:pos="3827"/>
        </w:tabs>
        <w:ind w:left="3827" w:hanging="1276"/>
      </w:pPr>
      <w:rPr>
        <w:rFonts w:hint="eastAsia"/>
      </w:rPr>
    </w:lvl>
    <w:lvl w:ilvl="7" w:tentative="0">
      <w:start w:val="1"/>
      <w:numFmt w:val="decimal"/>
      <w:pStyle w:val="11"/>
      <w:lvlText w:val="%1.%2.%3.%4.%5.%6.%7.%8"/>
      <w:lvlJc w:val="left"/>
      <w:pPr>
        <w:tabs>
          <w:tab w:val="left" w:pos="4394"/>
        </w:tabs>
        <w:ind w:left="4394" w:hanging="1418"/>
      </w:pPr>
      <w:rPr>
        <w:rFonts w:hint="eastAsia"/>
      </w:rPr>
    </w:lvl>
    <w:lvl w:ilvl="8" w:tentative="0">
      <w:start w:val="1"/>
      <w:numFmt w:val="decimal"/>
      <w:pStyle w:val="12"/>
      <w:lvlText w:val="%1.%2.%3.%4.%5.%6.%7.%8.%9"/>
      <w:lvlJc w:val="left"/>
      <w:pPr>
        <w:tabs>
          <w:tab w:val="left" w:pos="5102"/>
        </w:tabs>
        <w:ind w:left="5102" w:hanging="1700"/>
      </w:pPr>
      <w:rPr>
        <w:rFonts w:hint="eastAsia"/>
      </w:rPr>
    </w:lvl>
  </w:abstractNum>
  <w:abstractNum w:abstractNumId="3">
    <w:nsid w:val="695A01C8"/>
    <w:multiLevelType w:val="multilevel"/>
    <w:tmpl w:val="695A01C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NDQ3MmMwNTZhZjIzZjQ4YjY3MTU1YjRkNzcxNzAifQ=="/>
  </w:docVars>
  <w:rsids>
    <w:rsidRoot w:val="00731EF1"/>
    <w:rsid w:val="00015A75"/>
    <w:rsid w:val="0002056D"/>
    <w:rsid w:val="00101596"/>
    <w:rsid w:val="00114D79"/>
    <w:rsid w:val="001156DC"/>
    <w:rsid w:val="00156EAB"/>
    <w:rsid w:val="00177355"/>
    <w:rsid w:val="001B2902"/>
    <w:rsid w:val="001C03D1"/>
    <w:rsid w:val="00225EFF"/>
    <w:rsid w:val="0028501E"/>
    <w:rsid w:val="002C4B40"/>
    <w:rsid w:val="002D6B86"/>
    <w:rsid w:val="002F4017"/>
    <w:rsid w:val="00334338"/>
    <w:rsid w:val="003368BC"/>
    <w:rsid w:val="003B01E1"/>
    <w:rsid w:val="003B257D"/>
    <w:rsid w:val="003C57C1"/>
    <w:rsid w:val="003E1345"/>
    <w:rsid w:val="00417359"/>
    <w:rsid w:val="00451C66"/>
    <w:rsid w:val="0047377A"/>
    <w:rsid w:val="00482760"/>
    <w:rsid w:val="004A1644"/>
    <w:rsid w:val="004B0D73"/>
    <w:rsid w:val="00574229"/>
    <w:rsid w:val="0059319F"/>
    <w:rsid w:val="00601191"/>
    <w:rsid w:val="0062649E"/>
    <w:rsid w:val="006C0F25"/>
    <w:rsid w:val="00731EF1"/>
    <w:rsid w:val="00875C9B"/>
    <w:rsid w:val="008C4500"/>
    <w:rsid w:val="009742EB"/>
    <w:rsid w:val="00976509"/>
    <w:rsid w:val="00A07DCE"/>
    <w:rsid w:val="00A10B12"/>
    <w:rsid w:val="00A90D66"/>
    <w:rsid w:val="00AD576D"/>
    <w:rsid w:val="00B674C4"/>
    <w:rsid w:val="00B9726E"/>
    <w:rsid w:val="00BE2ECC"/>
    <w:rsid w:val="00BE6F6A"/>
    <w:rsid w:val="00C1189B"/>
    <w:rsid w:val="00C369ED"/>
    <w:rsid w:val="00CE30DD"/>
    <w:rsid w:val="00D06928"/>
    <w:rsid w:val="00DE4FDE"/>
    <w:rsid w:val="00E06EBE"/>
    <w:rsid w:val="00E32ADA"/>
    <w:rsid w:val="00E62F55"/>
    <w:rsid w:val="00EC54E0"/>
    <w:rsid w:val="00EE5981"/>
    <w:rsid w:val="00F06979"/>
    <w:rsid w:val="00F43C8D"/>
    <w:rsid w:val="00F66545"/>
    <w:rsid w:val="00FF4937"/>
    <w:rsid w:val="042E0790"/>
    <w:rsid w:val="061C6B19"/>
    <w:rsid w:val="064B432E"/>
    <w:rsid w:val="06DB44D3"/>
    <w:rsid w:val="09063A89"/>
    <w:rsid w:val="0B687644"/>
    <w:rsid w:val="0CBE2A3B"/>
    <w:rsid w:val="141817CE"/>
    <w:rsid w:val="14B57746"/>
    <w:rsid w:val="15C34AB0"/>
    <w:rsid w:val="15E2439E"/>
    <w:rsid w:val="161B7D54"/>
    <w:rsid w:val="193957B5"/>
    <w:rsid w:val="1A7171D0"/>
    <w:rsid w:val="1BF34341"/>
    <w:rsid w:val="1C782A98"/>
    <w:rsid w:val="1E682698"/>
    <w:rsid w:val="20DA787E"/>
    <w:rsid w:val="23FC3FAF"/>
    <w:rsid w:val="25565941"/>
    <w:rsid w:val="26804A23"/>
    <w:rsid w:val="27B70919"/>
    <w:rsid w:val="28D252DE"/>
    <w:rsid w:val="2A126303"/>
    <w:rsid w:val="2BB86A0D"/>
    <w:rsid w:val="2C365B84"/>
    <w:rsid w:val="2D1B54A6"/>
    <w:rsid w:val="2E0C3040"/>
    <w:rsid w:val="30A734F4"/>
    <w:rsid w:val="31123CFB"/>
    <w:rsid w:val="36D6243D"/>
    <w:rsid w:val="37B21176"/>
    <w:rsid w:val="38B055D3"/>
    <w:rsid w:val="39445790"/>
    <w:rsid w:val="398A0779"/>
    <w:rsid w:val="398D772B"/>
    <w:rsid w:val="3D850719"/>
    <w:rsid w:val="3F6827A5"/>
    <w:rsid w:val="41917D44"/>
    <w:rsid w:val="4290366E"/>
    <w:rsid w:val="440A2AAE"/>
    <w:rsid w:val="446C618F"/>
    <w:rsid w:val="49221512"/>
    <w:rsid w:val="4C1B2975"/>
    <w:rsid w:val="4D1F46E6"/>
    <w:rsid w:val="4D92310A"/>
    <w:rsid w:val="51AF59E9"/>
    <w:rsid w:val="54B75204"/>
    <w:rsid w:val="555E38D2"/>
    <w:rsid w:val="58E72509"/>
    <w:rsid w:val="59EE7F0E"/>
    <w:rsid w:val="5B5E287E"/>
    <w:rsid w:val="5CE24A5B"/>
    <w:rsid w:val="61EE374E"/>
    <w:rsid w:val="62B3085C"/>
    <w:rsid w:val="63AE1EC8"/>
    <w:rsid w:val="63D7141F"/>
    <w:rsid w:val="66A82BFF"/>
    <w:rsid w:val="69112CDD"/>
    <w:rsid w:val="69DB21C3"/>
    <w:rsid w:val="6AEF52A0"/>
    <w:rsid w:val="6B8002E5"/>
    <w:rsid w:val="6CEC7C54"/>
    <w:rsid w:val="6D6B4E56"/>
    <w:rsid w:val="6F8F5009"/>
    <w:rsid w:val="70B044D7"/>
    <w:rsid w:val="70CB1A06"/>
    <w:rsid w:val="71F118FE"/>
    <w:rsid w:val="72F915D3"/>
    <w:rsid w:val="73AD3F4B"/>
    <w:rsid w:val="74EB6F90"/>
    <w:rsid w:val="765B62B6"/>
    <w:rsid w:val="792815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imes New Roman"/>
      <w:kern w:val="2"/>
      <w:sz w:val="24"/>
      <w:lang w:val="en-US" w:eastAsia="zh-CN" w:bidi="ar-SA"/>
    </w:rPr>
  </w:style>
  <w:style w:type="paragraph" w:styleId="3">
    <w:name w:val="heading 1"/>
    <w:basedOn w:val="1"/>
    <w:next w:val="4"/>
    <w:link w:val="27"/>
    <w:qFormat/>
    <w:uiPriority w:val="0"/>
    <w:pPr>
      <w:keepNext/>
      <w:keepLines/>
      <w:numPr>
        <w:ilvl w:val="0"/>
        <w:numId w:val="1"/>
      </w:numPr>
      <w:spacing w:before="340" w:after="330"/>
      <w:outlineLvl w:val="0"/>
    </w:pPr>
    <w:rPr>
      <w:b/>
      <w:bCs/>
      <w:kern w:val="44"/>
      <w:sz w:val="44"/>
      <w:szCs w:val="44"/>
    </w:rPr>
  </w:style>
  <w:style w:type="paragraph" w:styleId="2">
    <w:name w:val="heading 2"/>
    <w:basedOn w:val="1"/>
    <w:next w:val="1"/>
    <w:link w:val="28"/>
    <w:qFormat/>
    <w:uiPriority w:val="0"/>
    <w:pPr>
      <w:keepNext/>
      <w:keepLines/>
      <w:numPr>
        <w:ilvl w:val="1"/>
        <w:numId w:val="1"/>
      </w:numPr>
      <w:spacing w:before="260" w:after="260"/>
      <w:outlineLvl w:val="1"/>
    </w:pPr>
    <w:rPr>
      <w:rFonts w:cstheme="majorBidi"/>
      <w:b/>
      <w:bCs/>
      <w:sz w:val="36"/>
      <w:szCs w:val="36"/>
    </w:rPr>
  </w:style>
  <w:style w:type="paragraph" w:styleId="6">
    <w:name w:val="heading 3"/>
    <w:basedOn w:val="1"/>
    <w:next w:val="1"/>
    <w:link w:val="29"/>
    <w:qFormat/>
    <w:uiPriority w:val="0"/>
    <w:pPr>
      <w:keepNext/>
      <w:numPr>
        <w:ilvl w:val="2"/>
        <w:numId w:val="1"/>
      </w:numPr>
      <w:adjustRightInd w:val="0"/>
      <w:spacing w:before="200" w:after="200"/>
      <w:textAlignment w:val="baseline"/>
      <w:outlineLvl w:val="2"/>
    </w:pPr>
    <w:rPr>
      <w:b/>
      <w:spacing w:val="8"/>
      <w:kern w:val="0"/>
      <w:sz w:val="30"/>
    </w:rPr>
  </w:style>
  <w:style w:type="paragraph" w:styleId="7">
    <w:name w:val="heading 4"/>
    <w:basedOn w:val="1"/>
    <w:next w:val="1"/>
    <w:link w:val="30"/>
    <w:qFormat/>
    <w:uiPriority w:val="0"/>
    <w:pPr>
      <w:keepNext/>
      <w:keepLines/>
      <w:numPr>
        <w:ilvl w:val="3"/>
        <w:numId w:val="1"/>
      </w:numPr>
      <w:spacing w:before="160" w:after="160"/>
      <w:outlineLvl w:val="3"/>
    </w:pPr>
    <w:rPr>
      <w:rFonts w:cstheme="majorBidi"/>
      <w:b/>
      <w:bCs/>
      <w:sz w:val="28"/>
      <w:szCs w:val="28"/>
    </w:rPr>
  </w:style>
  <w:style w:type="paragraph" w:styleId="8">
    <w:name w:val="heading 5"/>
    <w:basedOn w:val="1"/>
    <w:next w:val="1"/>
    <w:link w:val="31"/>
    <w:qFormat/>
    <w:uiPriority w:val="0"/>
    <w:pPr>
      <w:keepNext/>
      <w:keepLines/>
      <w:numPr>
        <w:ilvl w:val="4"/>
        <w:numId w:val="1"/>
      </w:numPr>
      <w:spacing w:before="160" w:after="160"/>
      <w:outlineLvl w:val="4"/>
    </w:pPr>
    <w:rPr>
      <w:b/>
      <w:bCs/>
      <w:szCs w:val="24"/>
    </w:rPr>
  </w:style>
  <w:style w:type="paragraph" w:styleId="9">
    <w:name w:val="heading 6"/>
    <w:basedOn w:val="1"/>
    <w:next w:val="1"/>
    <w:link w:val="33"/>
    <w:qFormat/>
    <w:uiPriority w:val="0"/>
    <w:pPr>
      <w:keepNext/>
      <w:keepLines/>
      <w:numPr>
        <w:ilvl w:val="5"/>
        <w:numId w:val="1"/>
      </w:numPr>
      <w:spacing w:before="120" w:after="120"/>
      <w:outlineLvl w:val="5"/>
    </w:pPr>
    <w:rPr>
      <w:rFonts w:cstheme="majorBidi"/>
      <w:b/>
      <w:bCs/>
      <w:szCs w:val="24"/>
    </w:rPr>
  </w:style>
  <w:style w:type="paragraph" w:styleId="10">
    <w:name w:val="heading 7"/>
    <w:basedOn w:val="1"/>
    <w:next w:val="1"/>
    <w:link w:val="34"/>
    <w:qFormat/>
    <w:uiPriority w:val="0"/>
    <w:pPr>
      <w:keepNext/>
      <w:keepLines/>
      <w:numPr>
        <w:ilvl w:val="6"/>
        <w:numId w:val="1"/>
      </w:numPr>
      <w:spacing w:before="80" w:after="80"/>
      <w:outlineLvl w:val="6"/>
    </w:pPr>
    <w:rPr>
      <w:b/>
      <w:bCs/>
      <w:szCs w:val="24"/>
    </w:rPr>
  </w:style>
  <w:style w:type="paragraph" w:styleId="11">
    <w:name w:val="heading 8"/>
    <w:basedOn w:val="1"/>
    <w:next w:val="1"/>
    <w:link w:val="35"/>
    <w:qFormat/>
    <w:uiPriority w:val="0"/>
    <w:pPr>
      <w:keepNext/>
      <w:keepLines/>
      <w:numPr>
        <w:ilvl w:val="7"/>
        <w:numId w:val="1"/>
      </w:numPr>
      <w:spacing w:before="80" w:after="80"/>
      <w:outlineLvl w:val="7"/>
    </w:pPr>
    <w:rPr>
      <w:rFonts w:cstheme="majorBidi"/>
      <w:szCs w:val="24"/>
    </w:rPr>
  </w:style>
  <w:style w:type="paragraph" w:styleId="12">
    <w:name w:val="heading 9"/>
    <w:basedOn w:val="1"/>
    <w:next w:val="1"/>
    <w:link w:val="36"/>
    <w:qFormat/>
    <w:uiPriority w:val="0"/>
    <w:pPr>
      <w:keepNext/>
      <w:keepLines/>
      <w:numPr>
        <w:ilvl w:val="8"/>
        <w:numId w:val="1"/>
      </w:numPr>
      <w:spacing w:before="80" w:after="80"/>
      <w:outlineLvl w:val="8"/>
    </w:pPr>
    <w:rPr>
      <w:rFonts w:cstheme="majorBidi"/>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Body Text First Indent 2"/>
    <w:basedOn w:val="5"/>
    <w:qFormat/>
    <w:uiPriority w:val="0"/>
    <w:pPr>
      <w:ind w:firstLine="200" w:firstLineChars="200"/>
    </w:pPr>
    <w:rPr>
      <w:rFonts w:ascii="宋体" w:hAnsi="宋体"/>
    </w:rPr>
  </w:style>
  <w:style w:type="paragraph" w:styleId="5">
    <w:name w:val="Body Text Indent"/>
    <w:basedOn w:val="1"/>
    <w:qFormat/>
    <w:uiPriority w:val="99"/>
    <w:pPr>
      <w:ind w:firstLine="830" w:firstLineChars="352"/>
    </w:pPr>
    <w:rPr>
      <w:rFonts w:ascii="仿宋_GB2312" w:hAnsi="Calibri" w:eastAsia="仿宋_GB2312"/>
      <w:kern w:val="0"/>
      <w:sz w:val="32"/>
    </w:rPr>
  </w:style>
  <w:style w:type="paragraph" w:styleId="13">
    <w:name w:val="Normal Indent"/>
    <w:basedOn w:val="1"/>
    <w:link w:val="37"/>
    <w:qFormat/>
    <w:uiPriority w:val="0"/>
    <w:pPr>
      <w:ind w:firstLine="420"/>
    </w:pPr>
  </w:style>
  <w:style w:type="paragraph" w:styleId="14">
    <w:name w:val="annotation text"/>
    <w:basedOn w:val="1"/>
    <w:qFormat/>
    <w:uiPriority w:val="99"/>
    <w:pPr>
      <w:jc w:val="left"/>
    </w:pPr>
    <w:rPr>
      <w:rFonts w:asciiTheme="minorHAnsi" w:hAnsiTheme="minorHAnsi" w:eastAsiaTheme="minorEastAsia" w:cstheme="minorBidi"/>
    </w:rPr>
  </w:style>
  <w:style w:type="paragraph" w:styleId="15">
    <w:name w:val="Body Text"/>
    <w:basedOn w:val="1"/>
    <w:qFormat/>
    <w:uiPriority w:val="0"/>
    <w:pPr>
      <w:spacing w:after="120"/>
    </w:pPr>
  </w:style>
  <w:style w:type="paragraph" w:styleId="16">
    <w:name w:val="footer"/>
    <w:basedOn w:val="1"/>
    <w:semiHidden/>
    <w:unhideWhenUsed/>
    <w:qFormat/>
    <w:uiPriority w:val="99"/>
    <w:pPr>
      <w:tabs>
        <w:tab w:val="center" w:pos="4153"/>
        <w:tab w:val="right" w:pos="8306"/>
      </w:tabs>
      <w:snapToGrid w:val="0"/>
    </w:pPr>
    <w:rPr>
      <w:sz w:val="18"/>
    </w:rPr>
  </w:style>
  <w:style w:type="paragraph" w:styleId="1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8">
    <w:name w:val="toc 1"/>
    <w:basedOn w:val="1"/>
    <w:next w:val="1"/>
    <w:unhideWhenUsed/>
    <w:qFormat/>
    <w:uiPriority w:val="39"/>
    <w:pPr>
      <w:spacing w:line="400" w:lineRule="exact"/>
      <w:jc w:val="center"/>
    </w:pPr>
    <w:rPr>
      <w:rFonts w:cs="宋体"/>
      <w:b/>
      <w:bCs/>
    </w:rPr>
  </w:style>
  <w:style w:type="paragraph" w:styleId="19">
    <w:name w:val="Subtitle"/>
    <w:basedOn w:val="1"/>
    <w:link w:val="39"/>
    <w:qFormat/>
    <w:uiPriority w:val="0"/>
    <w:pPr>
      <w:spacing w:before="240" w:after="60" w:line="312" w:lineRule="auto"/>
      <w:jc w:val="center"/>
      <w:outlineLvl w:val="1"/>
    </w:pPr>
    <w:rPr>
      <w:rFonts w:ascii="Arial" w:hAnsi="Arial" w:cs="Arial"/>
      <w:b/>
      <w:bCs/>
      <w:kern w:val="28"/>
      <w:sz w:val="32"/>
      <w:szCs w:val="32"/>
    </w:rPr>
  </w:style>
  <w:style w:type="paragraph" w:styleId="20">
    <w:name w:val="toc 2"/>
    <w:basedOn w:val="1"/>
    <w:next w:val="1"/>
    <w:qFormat/>
    <w:uiPriority w:val="39"/>
    <w:pPr>
      <w:ind w:left="210"/>
      <w:jc w:val="left"/>
    </w:pPr>
    <w:rPr>
      <w:rFonts w:ascii="Calibri" w:hAnsi="Calibri" w:cs="Calibri"/>
      <w:smallCaps/>
      <w:szCs w:val="20"/>
    </w:rPr>
  </w:style>
  <w:style w:type="paragraph" w:styleId="21">
    <w:name w:val="Title"/>
    <w:basedOn w:val="1"/>
    <w:link w:val="38"/>
    <w:qFormat/>
    <w:uiPriority w:val="0"/>
    <w:pPr>
      <w:spacing w:before="240" w:after="60"/>
      <w:jc w:val="center"/>
      <w:outlineLvl w:val="0"/>
    </w:pPr>
    <w:rPr>
      <w:rFonts w:cs="Arial"/>
      <w:b/>
      <w:bCs/>
      <w:sz w:val="44"/>
      <w:szCs w:val="4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mphasis"/>
    <w:qFormat/>
    <w:uiPriority w:val="0"/>
    <w:rPr>
      <w:i/>
      <w:iCs/>
    </w:rPr>
  </w:style>
  <w:style w:type="character" w:customStyle="1" w:styleId="27">
    <w:name w:val="标题 1 字符"/>
    <w:link w:val="3"/>
    <w:qFormat/>
    <w:uiPriority w:val="0"/>
    <w:rPr>
      <w:rFonts w:ascii="宋体" w:hAnsi="宋体"/>
      <w:b/>
      <w:bCs/>
      <w:kern w:val="44"/>
      <w:sz w:val="44"/>
      <w:szCs w:val="44"/>
    </w:rPr>
  </w:style>
  <w:style w:type="character" w:customStyle="1" w:styleId="28">
    <w:name w:val="标题 2 字符"/>
    <w:basedOn w:val="24"/>
    <w:link w:val="2"/>
    <w:qFormat/>
    <w:uiPriority w:val="0"/>
    <w:rPr>
      <w:rFonts w:ascii="宋体" w:hAnsi="宋体" w:cstheme="majorBidi"/>
      <w:b/>
      <w:bCs/>
      <w:kern w:val="2"/>
      <w:sz w:val="36"/>
      <w:szCs w:val="36"/>
    </w:rPr>
  </w:style>
  <w:style w:type="character" w:customStyle="1" w:styleId="29">
    <w:name w:val="标题 3 字符"/>
    <w:link w:val="6"/>
    <w:qFormat/>
    <w:uiPriority w:val="0"/>
    <w:rPr>
      <w:rFonts w:ascii="宋体" w:hAnsi="宋体"/>
      <w:b/>
      <w:spacing w:val="8"/>
      <w:sz w:val="30"/>
    </w:rPr>
  </w:style>
  <w:style w:type="character" w:customStyle="1" w:styleId="30">
    <w:name w:val="标题 4 字符"/>
    <w:link w:val="7"/>
    <w:qFormat/>
    <w:uiPriority w:val="0"/>
    <w:rPr>
      <w:rFonts w:ascii="宋体" w:hAnsi="宋体" w:cstheme="majorBidi"/>
      <w:b/>
      <w:bCs/>
      <w:kern w:val="2"/>
      <w:sz w:val="28"/>
      <w:szCs w:val="28"/>
    </w:rPr>
  </w:style>
  <w:style w:type="character" w:customStyle="1" w:styleId="31">
    <w:name w:val="标题 5 字符"/>
    <w:basedOn w:val="24"/>
    <w:link w:val="8"/>
    <w:qFormat/>
    <w:uiPriority w:val="0"/>
    <w:rPr>
      <w:rFonts w:ascii="宋体" w:hAnsi="宋体"/>
      <w:b/>
      <w:bCs/>
      <w:kern w:val="2"/>
      <w:sz w:val="24"/>
      <w:szCs w:val="24"/>
    </w:rPr>
  </w:style>
  <w:style w:type="character" w:customStyle="1" w:styleId="32">
    <w:name w:val="标题 5 Char1"/>
    <w:qFormat/>
    <w:uiPriority w:val="0"/>
    <w:rPr>
      <w:rFonts w:ascii="宋体" w:hAnsi="宋体"/>
      <w:b/>
      <w:bCs/>
      <w:kern w:val="2"/>
      <w:sz w:val="24"/>
      <w:szCs w:val="24"/>
    </w:rPr>
  </w:style>
  <w:style w:type="character" w:customStyle="1" w:styleId="33">
    <w:name w:val="标题 6 字符"/>
    <w:basedOn w:val="24"/>
    <w:link w:val="9"/>
    <w:qFormat/>
    <w:uiPriority w:val="0"/>
    <w:rPr>
      <w:rFonts w:ascii="宋体" w:hAnsi="宋体" w:cstheme="majorBidi"/>
      <w:b/>
      <w:bCs/>
      <w:kern w:val="2"/>
      <w:sz w:val="24"/>
      <w:szCs w:val="24"/>
    </w:rPr>
  </w:style>
  <w:style w:type="character" w:customStyle="1" w:styleId="34">
    <w:name w:val="标题 7 字符"/>
    <w:basedOn w:val="24"/>
    <w:link w:val="10"/>
    <w:qFormat/>
    <w:uiPriority w:val="0"/>
    <w:rPr>
      <w:rFonts w:ascii="宋体" w:hAnsi="宋体"/>
      <w:b/>
      <w:bCs/>
      <w:kern w:val="2"/>
      <w:sz w:val="24"/>
      <w:szCs w:val="24"/>
    </w:rPr>
  </w:style>
  <w:style w:type="character" w:customStyle="1" w:styleId="35">
    <w:name w:val="标题 8 字符"/>
    <w:basedOn w:val="24"/>
    <w:link w:val="11"/>
    <w:qFormat/>
    <w:uiPriority w:val="0"/>
    <w:rPr>
      <w:rFonts w:ascii="宋体" w:hAnsi="宋体" w:cstheme="majorBidi"/>
      <w:kern w:val="2"/>
      <w:sz w:val="24"/>
      <w:szCs w:val="24"/>
    </w:rPr>
  </w:style>
  <w:style w:type="character" w:customStyle="1" w:styleId="36">
    <w:name w:val="标题 9 字符"/>
    <w:basedOn w:val="24"/>
    <w:link w:val="12"/>
    <w:qFormat/>
    <w:uiPriority w:val="0"/>
    <w:rPr>
      <w:rFonts w:ascii="宋体" w:hAnsi="宋体" w:cstheme="majorBidi"/>
      <w:kern w:val="2"/>
      <w:sz w:val="21"/>
      <w:szCs w:val="21"/>
    </w:rPr>
  </w:style>
  <w:style w:type="character" w:customStyle="1" w:styleId="37">
    <w:name w:val="正文缩进 字符"/>
    <w:link w:val="13"/>
    <w:qFormat/>
    <w:uiPriority w:val="0"/>
    <w:rPr>
      <w:rFonts w:ascii="宋体" w:hAnsi="宋体"/>
      <w:kern w:val="2"/>
      <w:sz w:val="24"/>
    </w:rPr>
  </w:style>
  <w:style w:type="character" w:customStyle="1" w:styleId="38">
    <w:name w:val="标题 字符"/>
    <w:basedOn w:val="24"/>
    <w:link w:val="21"/>
    <w:qFormat/>
    <w:uiPriority w:val="0"/>
    <w:rPr>
      <w:rFonts w:ascii="宋体" w:hAnsi="宋体" w:cs="Arial"/>
      <w:b/>
      <w:bCs/>
      <w:kern w:val="2"/>
      <w:sz w:val="44"/>
      <w:szCs w:val="44"/>
    </w:rPr>
  </w:style>
  <w:style w:type="character" w:customStyle="1" w:styleId="39">
    <w:name w:val="副标题 字符"/>
    <w:basedOn w:val="24"/>
    <w:link w:val="19"/>
    <w:qFormat/>
    <w:uiPriority w:val="0"/>
    <w:rPr>
      <w:rFonts w:ascii="Arial" w:hAnsi="Arial" w:cs="Arial"/>
      <w:b/>
      <w:bCs/>
      <w:kern w:val="28"/>
      <w:sz w:val="32"/>
      <w:szCs w:val="32"/>
    </w:rPr>
  </w:style>
  <w:style w:type="paragraph" w:styleId="40">
    <w:name w:val="List Paragraph"/>
    <w:basedOn w:val="1"/>
    <w:qFormat/>
    <w:uiPriority w:val="34"/>
    <w:pPr>
      <w:spacing w:line="240" w:lineRule="auto"/>
      <w:ind w:firstLine="420" w:firstLineChars="200"/>
    </w:pPr>
    <w:rPr>
      <w:rFonts w:ascii="Times New Roman" w:hAnsi="Times New Roman"/>
      <w:sz w:val="21"/>
      <w:szCs w:val="24"/>
    </w:rPr>
  </w:style>
  <w:style w:type="character" w:customStyle="1" w:styleId="41">
    <w:name w:val="NormalCharacter"/>
    <w:link w:val="42"/>
    <w:semiHidden/>
    <w:qFormat/>
    <w:uiPriority w:val="0"/>
  </w:style>
  <w:style w:type="paragraph" w:customStyle="1" w:styleId="42">
    <w:name w:val="UserStyle_3"/>
    <w:basedOn w:val="1"/>
    <w:link w:val="41"/>
    <w:qFormat/>
    <w:uiPriority w:val="0"/>
    <w:pPr>
      <w:spacing w:after="160" w:line="240" w:lineRule="exact"/>
    </w:pPr>
  </w:style>
  <w:style w:type="paragraph" w:customStyle="1" w:styleId="43">
    <w:name w:val="179"/>
    <w:basedOn w:val="1"/>
    <w:qFormat/>
    <w:uiPriority w:val="0"/>
    <w:pPr>
      <w:ind w:firstLine="420" w:firstLineChars="200"/>
    </w:pPr>
  </w:style>
  <w:style w:type="paragraph" w:customStyle="1" w:styleId="44">
    <w:name w:val="图"/>
    <w:basedOn w:val="1"/>
    <w:qFormat/>
    <w:uiPriority w:val="0"/>
    <w:pPr>
      <w:keepNext/>
      <w:adjustRightInd w:val="0"/>
      <w:spacing w:before="60" w:after="60" w:line="300" w:lineRule="auto"/>
      <w:jc w:val="center"/>
      <w:textAlignment w:val="center"/>
    </w:pPr>
    <w:rPr>
      <w:spacing w:val="20"/>
      <w:kern w:val="0"/>
      <w:szCs w:val="24"/>
    </w:rPr>
  </w:style>
  <w:style w:type="paragraph" w:customStyle="1" w:styleId="45">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3399</Words>
  <Characters>3596</Characters>
  <Lines>6</Lines>
  <Paragraphs>1</Paragraphs>
  <TotalTime>2</TotalTime>
  <ScaleCrop>false</ScaleCrop>
  <LinksUpToDate>false</LinksUpToDate>
  <CharactersWithSpaces>3620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2025-03-26T07:35:00Z</dcterms:created>
  <dc:creator>体验用户53</dc:creator>
  <cp:lastModifiedBy>水滴</cp:lastModifiedBy>
  <dcterms:modified xsi:type="dcterms:W3CDTF">2026-02-04T01:09:44Z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C1B7D35DB5264F438A4F3A3963AB78D8_13</vt:lpwstr>
  </property>
  <property fmtid="{D5CDD505-2E9C-101B-9397-08002B2CF9AE}" pid="4" name="KSOTemplateDocerSaveRecord">
    <vt:lpwstr>eyJoZGlkIjoiODk3YTdjN2FjMzM0MTFhYzgyOGFlYjJiOTBlNzNkY2QiLCJ1c2VySWQiOiIxNzA1OTM4MTMxIn0=</vt:lpwstr>
  </property>
</Properties>
</file>