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37063">
      <w:pPr>
        <w:numPr>
          <w:ilvl w:val="0"/>
          <w:numId w:val="0"/>
        </w:numPr>
        <w:spacing w:line="560" w:lineRule="exact"/>
        <w:ind w:left="640" w:leftChars="0"/>
        <w:jc w:val="left"/>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rPr>
        <w:t>商务要求</w:t>
      </w:r>
    </w:p>
    <w:p w14:paraId="11B23061">
      <w:pPr>
        <w:spacing w:line="360" w:lineRule="exact"/>
        <w:rPr>
          <w:rFonts w:hint="eastAsia" w:ascii="宋体" w:hAnsi="宋体" w:eastAsia="宋体" w:cs="宋体"/>
          <w:sz w:val="24"/>
          <w:highlight w:val="none"/>
        </w:rPr>
      </w:pPr>
      <w:r>
        <w:rPr>
          <w:rFonts w:hint="eastAsia" w:ascii="宋体" w:hAnsi="宋体" w:eastAsia="宋体" w:cs="宋体"/>
          <w:sz w:val="24"/>
          <w:highlight w:val="none"/>
        </w:rPr>
        <w:t>说明：</w:t>
      </w:r>
    </w:p>
    <w:p w14:paraId="7E9D9011">
      <w:pPr>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带“★”项的是不可负偏离需求，为废标条款。</w:t>
      </w:r>
    </w:p>
    <w:p w14:paraId="3978DCDE">
      <w:pPr>
        <w:spacing w:line="3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2.招标技术要求中，用红色加粗字体标注的技术条款为要求提供证明资料的条款，共x项，其余为未要求提供证明资料的条款，无需提供相关证明资料。</w:t>
      </w:r>
    </w:p>
    <w:tbl>
      <w:tblPr>
        <w:tblStyle w:val="7"/>
        <w:tblW w:w="83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570"/>
        <w:gridCol w:w="6236"/>
      </w:tblGrid>
      <w:tr w14:paraId="2030C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tcBorders>
              <w:tl2br w:val="nil"/>
              <w:tr2bl w:val="nil"/>
            </w:tcBorders>
            <w:noWrap w:val="0"/>
            <w:vAlign w:val="center"/>
          </w:tcPr>
          <w:p w14:paraId="12A29E89">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570" w:type="dxa"/>
            <w:tcBorders>
              <w:tl2br w:val="nil"/>
              <w:tr2bl w:val="nil"/>
            </w:tcBorders>
            <w:noWrap w:val="0"/>
            <w:vAlign w:val="center"/>
          </w:tcPr>
          <w:p w14:paraId="1A2F63C4">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目录</w:t>
            </w:r>
          </w:p>
        </w:tc>
        <w:tc>
          <w:tcPr>
            <w:tcW w:w="6236" w:type="dxa"/>
            <w:tcBorders>
              <w:tl2br w:val="nil"/>
              <w:tr2bl w:val="nil"/>
            </w:tcBorders>
            <w:noWrap w:val="0"/>
            <w:vAlign w:val="center"/>
          </w:tcPr>
          <w:p w14:paraId="7ED61255">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商务要求</w:t>
            </w:r>
          </w:p>
        </w:tc>
      </w:tr>
      <w:tr w14:paraId="695CE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24" w:type="dxa"/>
            <w:gridSpan w:val="3"/>
            <w:tcBorders>
              <w:tl2br w:val="nil"/>
              <w:tr2bl w:val="nil"/>
            </w:tcBorders>
            <w:noWrap w:val="0"/>
            <w:vAlign w:val="center"/>
          </w:tcPr>
          <w:p w14:paraId="60BE4762">
            <w:pPr>
              <w:pStyle w:val="8"/>
              <w:spacing w:before="52" w:line="228" w:lineRule="auto"/>
              <w:ind w:left="126"/>
              <w:jc w:val="both"/>
              <w:rPr>
                <w:rFonts w:hint="eastAsia" w:ascii="宋体" w:hAnsi="宋体" w:eastAsia="宋体" w:cs="宋体"/>
                <w:sz w:val="24"/>
                <w:szCs w:val="24"/>
                <w:highlight w:val="yellow"/>
                <w:lang w:eastAsia="zh-CN"/>
              </w:rPr>
            </w:pPr>
            <w:r>
              <w:rPr>
                <w:rFonts w:hint="eastAsia" w:ascii="宋体" w:hAnsi="宋体" w:eastAsia="宋体" w:cs="宋体"/>
                <w:b/>
                <w:bCs/>
                <w:sz w:val="24"/>
                <w:szCs w:val="24"/>
                <w:highlight w:val="none"/>
                <w:lang w:eastAsia="zh-CN"/>
              </w:rPr>
              <w:t>（一）免费保修期内售后服务要求</w:t>
            </w:r>
          </w:p>
        </w:tc>
      </w:tr>
      <w:tr w14:paraId="18FD1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057190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0" w:type="dxa"/>
            <w:vMerge w:val="restart"/>
            <w:tcBorders>
              <w:tl2br w:val="nil"/>
              <w:tr2bl w:val="nil"/>
            </w:tcBorders>
            <w:noWrap w:val="0"/>
            <w:vAlign w:val="center"/>
          </w:tcPr>
          <w:p w14:paraId="75FFAF4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维修响应及故障解决时间</w:t>
            </w:r>
          </w:p>
          <w:p w14:paraId="4C507504">
            <w:pPr>
              <w:jc w:val="center"/>
              <w:rPr>
                <w:rFonts w:hint="eastAsia" w:ascii="宋体" w:hAnsi="宋体" w:eastAsia="宋体" w:cs="宋体"/>
                <w:color w:val="auto"/>
                <w:sz w:val="24"/>
                <w:szCs w:val="24"/>
                <w:highlight w:val="none"/>
                <w:lang w:eastAsia="zh-CN"/>
              </w:rPr>
            </w:pPr>
          </w:p>
        </w:tc>
        <w:tc>
          <w:tcPr>
            <w:tcW w:w="6236" w:type="dxa"/>
            <w:tcBorders>
              <w:tl2br w:val="nil"/>
              <w:tr2bl w:val="nil"/>
            </w:tcBorders>
            <w:noWrap w:val="0"/>
            <w:vAlign w:val="center"/>
          </w:tcPr>
          <w:p w14:paraId="188EA462">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★1.1维修响应及故障解决时间提供 7x24 小时的故障受理服务，故障服务现场响应时间不超过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 xml:space="preserve"> 小时，排除故障时间不超过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 小时。在保修期内，一旦发生质量问题，投标人保证在接到通知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小时内赶到现场进行修理或更换。</w:t>
            </w:r>
          </w:p>
        </w:tc>
      </w:tr>
      <w:tr w14:paraId="2842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2E592D47">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18B00BBD">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1704F0F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★1.2在保修期间，若产品不能实现所保证的功能，有任何问题，中标供应商免费提供相关的技术支持、指导；中标供应商无法解决的，必须为采购人提供厂家售后服务</w:t>
            </w:r>
            <w:bookmarkStart w:id="0" w:name="_GoBack"/>
            <w:bookmarkEnd w:id="0"/>
            <w:r>
              <w:rPr>
                <w:rFonts w:hint="eastAsia" w:ascii="宋体" w:hAnsi="宋体" w:eastAsia="宋体" w:cs="宋体"/>
                <w:color w:val="auto"/>
                <w:sz w:val="24"/>
                <w:szCs w:val="24"/>
                <w:highlight w:val="none"/>
                <w:lang w:eastAsia="zh-CN"/>
              </w:rPr>
              <w:t>。</w:t>
            </w:r>
          </w:p>
        </w:tc>
      </w:tr>
      <w:tr w14:paraId="1E66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6B978D85">
            <w:pPr>
              <w:jc w:val="center"/>
              <w:rPr>
                <w:rFonts w:hint="eastAsia" w:ascii="宋体" w:hAnsi="宋体" w:eastAsia="宋体" w:cs="宋体"/>
                <w:color w:val="auto"/>
                <w:sz w:val="24"/>
                <w:szCs w:val="24"/>
                <w:highlight w:val="none"/>
                <w:lang w:eastAsia="zh-CN"/>
              </w:rPr>
            </w:pPr>
          </w:p>
          <w:p w14:paraId="480A0D2C">
            <w:pPr>
              <w:jc w:val="center"/>
              <w:rPr>
                <w:rFonts w:hint="eastAsia" w:ascii="宋体" w:hAnsi="宋体" w:eastAsia="宋体" w:cs="宋体"/>
                <w:color w:val="auto"/>
                <w:sz w:val="24"/>
                <w:szCs w:val="24"/>
                <w:highlight w:val="none"/>
                <w:lang w:eastAsia="zh-CN"/>
              </w:rPr>
            </w:pPr>
          </w:p>
          <w:p w14:paraId="16565443">
            <w:pPr>
              <w:jc w:val="center"/>
              <w:rPr>
                <w:rFonts w:hint="eastAsia" w:ascii="宋体" w:hAnsi="宋体" w:eastAsia="宋体" w:cs="宋体"/>
                <w:color w:val="auto"/>
                <w:sz w:val="24"/>
                <w:szCs w:val="24"/>
                <w:highlight w:val="none"/>
                <w:lang w:eastAsia="zh-CN"/>
              </w:rPr>
            </w:pPr>
          </w:p>
          <w:p w14:paraId="75DDFC6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570" w:type="dxa"/>
            <w:vMerge w:val="restart"/>
            <w:tcBorders>
              <w:tl2br w:val="nil"/>
              <w:tr2bl w:val="nil"/>
            </w:tcBorders>
            <w:noWrap w:val="0"/>
            <w:vAlign w:val="center"/>
          </w:tcPr>
          <w:p w14:paraId="1BFB7D19">
            <w:pPr>
              <w:jc w:val="center"/>
              <w:rPr>
                <w:rFonts w:hint="eastAsia" w:ascii="宋体" w:hAnsi="宋体" w:eastAsia="宋体" w:cs="宋体"/>
                <w:color w:val="auto"/>
                <w:sz w:val="24"/>
                <w:szCs w:val="24"/>
                <w:highlight w:val="none"/>
                <w:lang w:eastAsia="zh-CN"/>
              </w:rPr>
            </w:pPr>
          </w:p>
          <w:p w14:paraId="11CF0A9B">
            <w:pPr>
              <w:jc w:val="center"/>
              <w:rPr>
                <w:rFonts w:hint="eastAsia" w:ascii="宋体" w:hAnsi="宋体" w:eastAsia="宋体" w:cs="宋体"/>
                <w:color w:val="auto"/>
                <w:sz w:val="24"/>
                <w:szCs w:val="24"/>
                <w:highlight w:val="none"/>
                <w:lang w:eastAsia="zh-CN"/>
              </w:rPr>
            </w:pPr>
          </w:p>
          <w:p w14:paraId="38130591">
            <w:pPr>
              <w:jc w:val="center"/>
              <w:rPr>
                <w:rFonts w:hint="eastAsia" w:ascii="宋体" w:hAnsi="宋体" w:eastAsia="宋体" w:cs="宋体"/>
                <w:color w:val="auto"/>
                <w:sz w:val="24"/>
                <w:szCs w:val="24"/>
                <w:highlight w:val="none"/>
                <w:lang w:eastAsia="zh-CN"/>
              </w:rPr>
            </w:pPr>
          </w:p>
          <w:p w14:paraId="6DA5C2C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免费保修期</w:t>
            </w:r>
          </w:p>
        </w:tc>
        <w:tc>
          <w:tcPr>
            <w:tcW w:w="6236" w:type="dxa"/>
            <w:tcBorders>
              <w:tl2br w:val="nil"/>
              <w:tr2bl w:val="nil"/>
            </w:tcBorders>
            <w:noWrap w:val="0"/>
            <w:vAlign w:val="center"/>
          </w:tcPr>
          <w:p w14:paraId="2182A2B0">
            <w:pPr>
              <w:jc w:val="both"/>
              <w:rPr>
                <w:rFonts w:hint="eastAsia" w:ascii="宋体" w:hAnsi="宋体" w:eastAsia="宋体" w:cs="宋体"/>
                <w:spacing w:val="4"/>
                <w:sz w:val="24"/>
                <w:szCs w:val="24"/>
                <w:highlight w:val="none"/>
                <w:lang w:eastAsia="zh-CN"/>
              </w:rPr>
            </w:pPr>
            <w:r>
              <w:rPr>
                <w:rFonts w:hint="eastAsia" w:ascii="宋体" w:hAnsi="宋体" w:eastAsia="宋体" w:cs="宋体"/>
                <w:color w:val="auto"/>
                <w:sz w:val="24"/>
                <w:szCs w:val="24"/>
                <w:highlight w:val="none"/>
                <w:lang w:eastAsia="zh-CN"/>
              </w:rPr>
              <w:t>★2.1货物免费质保期</w:t>
            </w:r>
            <w:r>
              <w:rPr>
                <w:rFonts w:hint="eastAsia" w:ascii="宋体" w:hAnsi="宋体" w:eastAsia="宋体" w:cs="宋体"/>
                <w:color w:val="auto"/>
                <w:sz w:val="24"/>
                <w:szCs w:val="24"/>
                <w:highlight w:val="none"/>
                <w:u w:val="single"/>
                <w:lang w:eastAsia="zh-CN"/>
              </w:rPr>
              <w:t xml:space="preserve"> 1 </w:t>
            </w:r>
            <w:r>
              <w:rPr>
                <w:rFonts w:hint="eastAsia" w:ascii="宋体" w:hAnsi="宋体" w:eastAsia="宋体" w:cs="宋体"/>
                <w:color w:val="auto"/>
                <w:sz w:val="24"/>
                <w:szCs w:val="24"/>
                <w:highlight w:val="none"/>
                <w:lang w:eastAsia="zh-CN"/>
              </w:rPr>
              <w:t>年，时间自最终验收合格并交付使用之日起计算。免费质保期内对非人为因素引起的损坏免费维修或更换。在此期间，中标人负责送厂维修服务。</w:t>
            </w:r>
          </w:p>
        </w:tc>
      </w:tr>
      <w:tr w14:paraId="45DC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17BDA066">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6539B6A4">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5D1ECA03">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2.2中标供应商应定期对产品进行维护保养，以防患于未然。在整个产品运行过程中，中标供应商帮助采购人解决在应用过程中遇到的各种技术问题。</w:t>
            </w:r>
          </w:p>
        </w:tc>
      </w:tr>
      <w:tr w14:paraId="0FC7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563F8BF7">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26BF289F">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4E259B20">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★2.3中标供应商应为采购人提供保修期内所有飞行器不少于1次飞行器保养服务，保养内容包含但不限于基础检测、升级校准、深度清洁和易损件更换和所有飞行器1年不少于2块电池免费换新服务。</w:t>
            </w:r>
          </w:p>
        </w:tc>
      </w:tr>
      <w:tr w14:paraId="47681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387CDA74">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3EF2D461">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6EF6F52C">
            <w:pPr>
              <w:jc w:val="both"/>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highlight w:val="none"/>
                <w:lang w:eastAsia="zh-CN"/>
              </w:rPr>
              <w:t>★</w:t>
            </w:r>
            <w:r>
              <w:rPr>
                <w:rFonts w:hint="eastAsia" w:ascii="宋体" w:hAnsi="宋体" w:eastAsia="宋体" w:cs="宋体"/>
                <w:b/>
                <w:bCs/>
                <w:color w:val="auto"/>
                <w:sz w:val="24"/>
                <w:szCs w:val="24"/>
                <w:highlight w:val="none"/>
                <w:lang w:eastAsia="zh-CN"/>
              </w:rPr>
              <w:t>2.4提供巡检航线更新服务，中标供应商承诺接入招标方内部相关管理平台，并以书面形式提供承诺函原件并加盖公章</w:t>
            </w:r>
            <w:r>
              <w:rPr>
                <w:rFonts w:hint="eastAsia" w:ascii="宋体" w:hAnsi="宋体" w:eastAsia="宋体" w:cs="宋体"/>
                <w:color w:val="auto"/>
                <w:sz w:val="24"/>
                <w:szCs w:val="24"/>
                <w:highlight w:val="none"/>
                <w:lang w:eastAsia="zh-CN"/>
              </w:rPr>
              <w:t>。项目期间提供用户视频专网的视频应用平台接入支撑服务，实现在后方查看飞行器画面，可将飞行器巡管视频推送至视频专网的视频应用平台并统一存储、调度，并将飞行器飞行状态、位置、轨迹实时回传，将事件结构化数据统一汇聚并上传至用户事件应用平台</w:t>
            </w:r>
          </w:p>
        </w:tc>
      </w:tr>
      <w:tr w14:paraId="59C83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2586A0A3">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6A6A1069">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410ACDE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2.5提供设备保险服务：</w:t>
            </w:r>
          </w:p>
          <w:p w14:paraId="6540AAE5">
            <w:pPr>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无人机无人值守平台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无人值守平台：提供无人值守平台有效期不低于1年保险服务：由于意外导致的设备损坏，提供与设备主体等价值的保障额度内的免费维修服务。保障部件包含但不限于主控模组、空调模组、停机坪模组、电动推杆组件、ACDC 电源、蓄电池、舱盖、风速计、雨量计、RTK 天线、无线充电模组；</w:t>
            </w:r>
          </w:p>
          <w:p w14:paraId="24FA434B">
            <w:pPr>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无人机无人值守平台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轻型夜视飞行器：提供轻型夜视飞行器有效期不低于1年保险服务：由于意外导致的设备损坏，提供与设备主体等价值的保障额度内的上门免费维修服务，保障部件包含但不限于机身、配套云台相机、桨叶、遥控器、充电管家；</w:t>
            </w:r>
          </w:p>
          <w:p w14:paraId="1FABEDEC">
            <w:pPr>
              <w:numPr>
                <w:ilvl w:val="0"/>
                <w:numId w:val="0"/>
              </w:numPr>
              <w:ind w:leftChars="0"/>
              <w:jc w:val="both"/>
              <w:rPr>
                <w:rFonts w:hint="eastAsia"/>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四旋翼单兵型无人机</w:t>
            </w:r>
            <w:r>
              <w:rPr>
                <w:rFonts w:hint="eastAsia" w:ascii="宋体" w:hAnsi="宋体" w:eastAsia="宋体" w:cs="宋体"/>
                <w:color w:val="auto"/>
                <w:sz w:val="24"/>
                <w:szCs w:val="24"/>
                <w:highlight w:val="none"/>
                <w:lang w:val="en-US" w:eastAsia="zh-CN"/>
              </w:rPr>
              <w:t>-小型四旋翼单兵飞行平台</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小型四旋翼单兵飞行平台</w:t>
            </w:r>
            <w:r>
              <w:rPr>
                <w:rFonts w:hint="eastAsia" w:ascii="宋体" w:hAnsi="宋体" w:eastAsia="宋体" w:cs="宋体"/>
                <w:color w:val="auto"/>
                <w:sz w:val="24"/>
                <w:szCs w:val="24"/>
                <w:highlight w:val="none"/>
                <w:lang w:eastAsia="zh-CN"/>
              </w:rPr>
              <w:t>有效期不低于1年保险服务：由于意外导致的设备损坏，提供与设备主体等价值的保障额度内的免费维修服务，保障部件包含但不限于机身、桨叶、上置单云台套件、下置单云台套件、下置双云台套件、遥控器、智能电池箱；</w:t>
            </w:r>
          </w:p>
          <w:p w14:paraId="15567108">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(4)四旋翼单兵型无人机-红外夜视镜头</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红外夜视镜头</w:t>
            </w:r>
            <w:r>
              <w:rPr>
                <w:rFonts w:hint="eastAsia" w:ascii="宋体" w:hAnsi="宋体" w:eastAsia="宋体" w:cs="宋体"/>
                <w:color w:val="auto"/>
                <w:sz w:val="24"/>
                <w:szCs w:val="24"/>
                <w:highlight w:val="none"/>
                <w:lang w:eastAsia="zh-CN"/>
              </w:rPr>
              <w:t>有效期不低于1年保险服务：由于意外导致的设备损坏，提供与设备主体等价值的保障额度内的免费维修服务，保障部件包含但不限于云台、相机</w:t>
            </w:r>
            <w:r>
              <w:rPr>
                <w:rFonts w:hint="eastAsia" w:ascii="宋体" w:hAnsi="宋体" w:eastAsia="宋体" w:cs="宋体"/>
                <w:color w:val="auto"/>
                <w:sz w:val="24"/>
                <w:szCs w:val="24"/>
                <w:highlight w:val="none"/>
                <w:lang w:val="en-US" w:eastAsia="zh-CN"/>
              </w:rPr>
              <w:t>;</w:t>
            </w:r>
          </w:p>
          <w:p w14:paraId="56F1F35B">
            <w:pPr>
              <w:pStyle w:val="2"/>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(5)四旋翼单兵型无人机-探照灯负载：</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探照灯负载</w:t>
            </w:r>
            <w:r>
              <w:rPr>
                <w:rFonts w:hint="eastAsia" w:ascii="宋体" w:hAnsi="宋体" w:eastAsia="宋体" w:cs="宋体"/>
                <w:color w:val="auto"/>
                <w:sz w:val="24"/>
                <w:szCs w:val="24"/>
                <w:highlight w:val="none"/>
                <w:lang w:eastAsia="zh-CN"/>
              </w:rPr>
              <w:t>有效期不低于1年保险服务：由于意外导致的设备损坏，提供与设备主体等价值的保障额度内的免费维修服务，保障部件包含但不限于探照灯主体；</w:t>
            </w:r>
          </w:p>
          <w:p w14:paraId="4046A43C">
            <w:pPr>
              <w:pStyle w:val="2"/>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(5)四旋翼单兵型无人机-喊话器负载：</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探照灯负载</w:t>
            </w:r>
            <w:r>
              <w:rPr>
                <w:rFonts w:hint="eastAsia" w:ascii="宋体" w:hAnsi="宋体" w:eastAsia="宋体" w:cs="宋体"/>
                <w:color w:val="auto"/>
                <w:sz w:val="24"/>
                <w:szCs w:val="24"/>
                <w:highlight w:val="none"/>
                <w:lang w:eastAsia="zh-CN"/>
              </w:rPr>
              <w:t>有效期不低于1年保险服务：由于意外导致的设备损坏，提供与设备主体等价值的保障额度内的免费维修服务，保障部件包含但不限于喊话器主体；</w:t>
            </w:r>
          </w:p>
          <w:p w14:paraId="45468679">
            <w:pPr>
              <w:pStyle w:val="2"/>
              <w:numPr>
                <w:ilvl w:val="0"/>
                <w:numId w:val="0"/>
              </w:numPr>
              <w:rPr>
                <w:rFonts w:hint="eastAsia" w:ascii="宋体" w:hAnsi="宋体" w:eastAsia="宋体" w:cs="宋体"/>
                <w:sz w:val="24"/>
                <w:szCs w:val="24"/>
                <w:highlight w:val="yellow"/>
                <w:lang w:eastAsia="zh-CN"/>
              </w:rPr>
            </w:pPr>
            <w:r>
              <w:rPr>
                <w:rFonts w:hint="eastAsia" w:ascii="宋体" w:hAnsi="宋体" w:eastAsia="宋体" w:cs="宋体"/>
                <w:color w:val="auto"/>
                <w:sz w:val="24"/>
                <w:szCs w:val="24"/>
                <w:highlight w:val="none"/>
                <w:lang w:val="en-US" w:eastAsia="zh-CN"/>
              </w:rPr>
              <w:t>设备保险服务</w:t>
            </w:r>
            <w:r>
              <w:rPr>
                <w:rFonts w:hint="eastAsia" w:ascii="宋体" w:hAnsi="宋体" w:eastAsia="宋体" w:cs="宋体"/>
                <w:color w:val="auto"/>
                <w:sz w:val="24"/>
                <w:szCs w:val="24"/>
                <w:highlight w:val="none"/>
                <w:lang w:eastAsia="zh-CN"/>
              </w:rPr>
              <w:t>，时间自</w:t>
            </w:r>
            <w:r>
              <w:rPr>
                <w:rFonts w:hint="eastAsia" w:ascii="宋体" w:hAnsi="宋体" w:eastAsia="宋体" w:cs="宋体"/>
                <w:color w:val="auto"/>
                <w:sz w:val="24"/>
                <w:szCs w:val="24"/>
                <w:highlight w:val="none"/>
                <w:lang w:val="en-US" w:eastAsia="zh-CN"/>
              </w:rPr>
              <w:t>货物激活</w:t>
            </w:r>
            <w:r>
              <w:rPr>
                <w:rFonts w:hint="eastAsia" w:ascii="宋体" w:hAnsi="宋体" w:eastAsia="宋体" w:cs="宋体"/>
                <w:color w:val="auto"/>
                <w:sz w:val="24"/>
                <w:szCs w:val="24"/>
                <w:highlight w:val="none"/>
                <w:lang w:eastAsia="zh-CN"/>
              </w:rPr>
              <w:t>使用之日起计算。</w:t>
            </w:r>
          </w:p>
        </w:tc>
      </w:tr>
      <w:tr w14:paraId="4B387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784023C6">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1F9F7033">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72766BF3">
            <w:pPr>
              <w:jc w:val="both"/>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highlight w:val="none"/>
                <w:lang w:eastAsia="zh-CN"/>
              </w:rPr>
              <w:t>★</w:t>
            </w:r>
            <w:r>
              <w:rPr>
                <w:rFonts w:hint="eastAsia" w:ascii="宋体" w:hAnsi="宋体" w:eastAsia="宋体" w:cs="宋体"/>
                <w:color w:val="auto"/>
                <w:sz w:val="24"/>
                <w:szCs w:val="24"/>
                <w:highlight w:val="none"/>
                <w:lang w:eastAsia="zh-CN"/>
              </w:rPr>
              <w:t>2.6 中标供应商应为采购人购买所有飞行器保额不低于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0万的飞行器第三者责任险（有效期不低于一年）。在保险期间内，由于被保险无人机在保险单中载明的指定区域内飞行过程中发生意外事故，被保险无人机或从被保险无人机上坠落的物品造成第三者人身伤亡或财产损失，依照中华人民共和国法律（不包含香港、澳门和台湾地区法律）应由被保险人承担的经济赔偿责任，保险人按照无人机第三者责任保险条款的约定负责赔偿。承保区域为中华人民共和国（不包含港、澳、台地区）。 </w:t>
            </w:r>
          </w:p>
        </w:tc>
      </w:tr>
      <w:tr w14:paraId="32754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8" w:type="dxa"/>
            <w:vMerge w:val="continue"/>
            <w:tcBorders>
              <w:tl2br w:val="nil"/>
              <w:tr2bl w:val="nil"/>
            </w:tcBorders>
            <w:noWrap w:val="0"/>
            <w:vAlign w:val="center"/>
          </w:tcPr>
          <w:p w14:paraId="669CC2F0">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1570" w:type="dxa"/>
            <w:vMerge w:val="continue"/>
            <w:tcBorders>
              <w:tl2br w:val="nil"/>
              <w:tr2bl w:val="nil"/>
            </w:tcBorders>
            <w:noWrap w:val="0"/>
            <w:vAlign w:val="center"/>
          </w:tcPr>
          <w:p w14:paraId="5C25FF5A">
            <w:pPr>
              <w:spacing w:before="65" w:line="258" w:lineRule="auto"/>
              <w:ind w:right="7" w:firstLine="423"/>
              <w:jc w:val="center"/>
              <w:rPr>
                <w:rFonts w:hint="eastAsia" w:ascii="宋体" w:hAnsi="宋体" w:eastAsia="宋体" w:cs="宋体"/>
                <w:spacing w:val="4"/>
                <w:sz w:val="24"/>
                <w:szCs w:val="24"/>
                <w:highlight w:val="yellow"/>
                <w:lang w:eastAsia="zh-CN"/>
              </w:rPr>
            </w:pPr>
          </w:p>
        </w:tc>
        <w:tc>
          <w:tcPr>
            <w:tcW w:w="6236" w:type="dxa"/>
            <w:tcBorders>
              <w:tl2br w:val="nil"/>
              <w:tr2bl w:val="nil"/>
            </w:tcBorders>
            <w:noWrap w:val="0"/>
            <w:vAlign w:val="center"/>
          </w:tcPr>
          <w:p w14:paraId="57FFB0E2">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 中标供应商应</w:t>
            </w:r>
            <w:r>
              <w:rPr>
                <w:rFonts w:hint="eastAsia" w:ascii="宋体" w:hAnsi="宋体" w:eastAsia="宋体" w:cs="宋体"/>
                <w:sz w:val="24"/>
                <w:szCs w:val="24"/>
                <w:highlight w:val="none"/>
                <w:lang w:eastAsia="zh-CN"/>
              </w:rPr>
              <w:t>根据《警用无人驾驶航空器外观制式涂装规范》，对</w:t>
            </w:r>
            <w:r>
              <w:rPr>
                <w:rFonts w:hint="eastAsia" w:ascii="宋体" w:hAnsi="宋体" w:eastAsia="宋体" w:cs="宋体"/>
                <w:color w:val="auto"/>
                <w:sz w:val="24"/>
                <w:szCs w:val="24"/>
                <w:highlight w:val="none"/>
                <w:lang w:eastAsia="zh-CN"/>
              </w:rPr>
              <w:t>采购人四旋翼单兵型无人机</w:t>
            </w:r>
            <w:r>
              <w:rPr>
                <w:rFonts w:hint="eastAsia" w:ascii="宋体" w:hAnsi="宋体" w:eastAsia="宋体" w:cs="宋体"/>
                <w:sz w:val="24"/>
                <w:szCs w:val="24"/>
                <w:highlight w:val="none"/>
                <w:lang w:eastAsia="zh-CN"/>
              </w:rPr>
              <w:t>进行烤漆工艺喷涂与贴标识工作。</w:t>
            </w:r>
          </w:p>
        </w:tc>
      </w:tr>
      <w:tr w14:paraId="07234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20CB4F1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570" w:type="dxa"/>
            <w:vMerge w:val="restart"/>
            <w:tcBorders>
              <w:tl2br w:val="nil"/>
              <w:tr2bl w:val="nil"/>
            </w:tcBorders>
            <w:noWrap w:val="0"/>
            <w:vAlign w:val="center"/>
          </w:tcPr>
          <w:p w14:paraId="3F084AE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w:t>
            </w:r>
          </w:p>
        </w:tc>
        <w:tc>
          <w:tcPr>
            <w:tcW w:w="6236" w:type="dxa"/>
            <w:tcBorders>
              <w:tl2br w:val="nil"/>
              <w:tr2bl w:val="nil"/>
            </w:tcBorders>
            <w:noWrap w:val="0"/>
            <w:vAlign w:val="center"/>
          </w:tcPr>
          <w:p w14:paraId="77B60B31">
            <w:pPr>
              <w:jc w:val="both"/>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highlight w:val="none"/>
                <w:lang w:eastAsia="zh-CN"/>
              </w:rPr>
              <w:t>★</w:t>
            </w:r>
            <w:r>
              <w:rPr>
                <w:rFonts w:hint="eastAsia" w:ascii="宋体" w:hAnsi="宋体" w:eastAsia="宋体" w:cs="宋体"/>
                <w:color w:val="auto"/>
                <w:sz w:val="24"/>
                <w:szCs w:val="24"/>
                <w:highlight w:val="none"/>
                <w:lang w:eastAsia="zh-CN"/>
              </w:rPr>
              <w:t>3.1自投标截止之日起至完成合同约定之日止，中标供应商不得擅自更换项目技术负责人,项目技术负责人应具备大学本科及以上学历和相关产品交付工程师，解决方案工程师等资质，并从事相关专业技术工作5年及以上，投标人拟报项目技术负责人必须为本单位正式职工，提供开标前近1个月的社保缴纳凭证，由社保机构出具本单位为其缴纳的社保证明，加盖社保中心章或社保中心参保缴费证明电子专用章）；</w:t>
            </w:r>
          </w:p>
        </w:tc>
      </w:tr>
      <w:tr w14:paraId="35621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5CD0FB6A">
            <w:pPr>
              <w:jc w:val="center"/>
              <w:rPr>
                <w:rFonts w:hint="eastAsia" w:ascii="宋体" w:hAnsi="宋体" w:eastAsia="宋体" w:cs="宋体"/>
                <w:color w:val="auto"/>
                <w:sz w:val="24"/>
                <w:szCs w:val="24"/>
                <w:highlight w:val="yellow"/>
                <w:lang w:eastAsia="zh-CN"/>
              </w:rPr>
            </w:pPr>
          </w:p>
        </w:tc>
        <w:tc>
          <w:tcPr>
            <w:tcW w:w="1570" w:type="dxa"/>
            <w:vMerge w:val="continue"/>
            <w:tcBorders>
              <w:tl2br w:val="nil"/>
              <w:tr2bl w:val="nil"/>
            </w:tcBorders>
            <w:noWrap w:val="0"/>
            <w:vAlign w:val="center"/>
          </w:tcPr>
          <w:p w14:paraId="2DFAA009">
            <w:pPr>
              <w:jc w:val="center"/>
              <w:rPr>
                <w:rFonts w:hint="eastAsia" w:ascii="宋体" w:hAnsi="宋体" w:eastAsia="宋体" w:cs="宋体"/>
                <w:color w:val="auto"/>
                <w:sz w:val="24"/>
                <w:szCs w:val="24"/>
                <w:highlight w:val="yellow"/>
                <w:lang w:eastAsia="zh-CN"/>
              </w:rPr>
            </w:pPr>
          </w:p>
        </w:tc>
        <w:tc>
          <w:tcPr>
            <w:tcW w:w="6236" w:type="dxa"/>
            <w:tcBorders>
              <w:tl2br w:val="nil"/>
              <w:tr2bl w:val="nil"/>
            </w:tcBorders>
            <w:noWrap w:val="0"/>
            <w:vAlign w:val="center"/>
          </w:tcPr>
          <w:p w14:paraId="4B9008E6">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3.2中标人应提供售后服务队伍名称、资质、人员配备、联系地址、电话等详细资料，以及书面提出用户人员操作培训、长期保修、维护服务和今后技术支持的措施计划和承诺。</w:t>
            </w:r>
          </w:p>
        </w:tc>
      </w:tr>
      <w:tr w14:paraId="6BD8A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3FCC128E">
            <w:pPr>
              <w:jc w:val="center"/>
              <w:rPr>
                <w:rFonts w:hint="eastAsia" w:ascii="宋体" w:hAnsi="宋体" w:eastAsia="宋体" w:cs="宋体"/>
                <w:color w:val="auto"/>
                <w:sz w:val="24"/>
                <w:szCs w:val="24"/>
                <w:highlight w:val="none"/>
                <w:lang w:eastAsia="zh-CN"/>
              </w:rPr>
            </w:pPr>
          </w:p>
        </w:tc>
        <w:tc>
          <w:tcPr>
            <w:tcW w:w="1570" w:type="dxa"/>
            <w:vMerge w:val="continue"/>
            <w:tcBorders>
              <w:tl2br w:val="nil"/>
              <w:tr2bl w:val="nil"/>
            </w:tcBorders>
            <w:noWrap w:val="0"/>
            <w:vAlign w:val="center"/>
          </w:tcPr>
          <w:p w14:paraId="4D058802">
            <w:pPr>
              <w:jc w:val="center"/>
              <w:rPr>
                <w:rFonts w:hint="eastAsia" w:ascii="宋体" w:hAnsi="宋体" w:eastAsia="宋体" w:cs="宋体"/>
                <w:color w:val="auto"/>
                <w:sz w:val="24"/>
                <w:szCs w:val="24"/>
                <w:highlight w:val="none"/>
                <w:lang w:eastAsia="zh-CN"/>
              </w:rPr>
            </w:pPr>
          </w:p>
        </w:tc>
        <w:tc>
          <w:tcPr>
            <w:tcW w:w="6236" w:type="dxa"/>
            <w:tcBorders>
              <w:tl2br w:val="nil"/>
              <w:tr2bl w:val="nil"/>
            </w:tcBorders>
            <w:noWrap w:val="0"/>
            <w:vAlign w:val="center"/>
          </w:tcPr>
          <w:p w14:paraId="2E4A67C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3.3在质保期满以后，中标人为此设备应以优惠价格终生提供保障其正常运行的配件和维护并能提供送货上门服务（以设备正常使用年限为限）。</w:t>
            </w:r>
          </w:p>
        </w:tc>
      </w:tr>
      <w:tr w14:paraId="6833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3F89714D">
            <w:pPr>
              <w:spacing w:before="65" w:line="258" w:lineRule="auto"/>
              <w:ind w:right="7" w:firstLine="423"/>
              <w:jc w:val="center"/>
              <w:rPr>
                <w:rFonts w:hint="eastAsia" w:ascii="宋体" w:hAnsi="宋体" w:eastAsia="宋体" w:cs="宋体"/>
                <w:spacing w:val="4"/>
                <w:sz w:val="24"/>
                <w:szCs w:val="24"/>
                <w:highlight w:val="none"/>
                <w:lang w:eastAsia="zh-CN"/>
              </w:rPr>
            </w:pPr>
          </w:p>
        </w:tc>
        <w:tc>
          <w:tcPr>
            <w:tcW w:w="1570" w:type="dxa"/>
            <w:vMerge w:val="continue"/>
            <w:tcBorders>
              <w:tl2br w:val="nil"/>
              <w:tr2bl w:val="nil"/>
            </w:tcBorders>
            <w:noWrap w:val="0"/>
            <w:vAlign w:val="center"/>
          </w:tcPr>
          <w:p w14:paraId="74E91AA6">
            <w:pPr>
              <w:spacing w:before="65" w:line="258" w:lineRule="auto"/>
              <w:ind w:right="7" w:firstLine="423"/>
              <w:jc w:val="center"/>
              <w:rPr>
                <w:rFonts w:hint="eastAsia" w:ascii="宋体" w:hAnsi="宋体" w:eastAsia="宋体" w:cs="宋体"/>
                <w:spacing w:val="4"/>
                <w:sz w:val="24"/>
                <w:szCs w:val="24"/>
                <w:highlight w:val="none"/>
                <w:lang w:eastAsia="zh-CN"/>
              </w:rPr>
            </w:pPr>
          </w:p>
        </w:tc>
        <w:tc>
          <w:tcPr>
            <w:tcW w:w="6236" w:type="dxa"/>
            <w:tcBorders>
              <w:tl2br w:val="nil"/>
              <w:tr2bl w:val="nil"/>
            </w:tcBorders>
            <w:noWrap w:val="0"/>
            <w:vAlign w:val="center"/>
          </w:tcPr>
          <w:p w14:paraId="679BEB13">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3.4中标人应按其投标文件中的承诺，进行其他售后服务工作。</w:t>
            </w:r>
          </w:p>
        </w:tc>
      </w:tr>
      <w:tr w14:paraId="0258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24" w:type="dxa"/>
            <w:gridSpan w:val="3"/>
            <w:tcBorders>
              <w:tl2br w:val="nil"/>
              <w:tr2bl w:val="nil"/>
            </w:tcBorders>
            <w:noWrap w:val="0"/>
            <w:vAlign w:val="top"/>
          </w:tcPr>
          <w:p w14:paraId="4BB148A3">
            <w:pPr>
              <w:pStyle w:val="4"/>
              <w:spacing w:before="78" w:beforeLines="25" w:after="78" w:afterLines="25" w:line="360" w:lineRule="exact"/>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（二）免费维保期外售后服务要求</w:t>
            </w:r>
          </w:p>
        </w:tc>
      </w:tr>
      <w:tr w14:paraId="499B3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71A30010">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p>
          <w:p w14:paraId="3A2F7583">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570" w:type="dxa"/>
            <w:vMerge w:val="restart"/>
            <w:tcBorders>
              <w:tl2br w:val="nil"/>
              <w:tr2bl w:val="nil"/>
            </w:tcBorders>
            <w:noWrap w:val="0"/>
            <w:vAlign w:val="center"/>
          </w:tcPr>
          <w:p w14:paraId="0E2B96EE">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p>
          <w:p w14:paraId="766E78D3">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备件备品要求</w:t>
            </w:r>
          </w:p>
        </w:tc>
        <w:tc>
          <w:tcPr>
            <w:tcW w:w="6236" w:type="dxa"/>
            <w:tcBorders>
              <w:tl2br w:val="nil"/>
              <w:tr2bl w:val="nil"/>
            </w:tcBorders>
            <w:noWrap w:val="0"/>
            <w:vAlign w:val="center"/>
          </w:tcPr>
          <w:p w14:paraId="6093584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1.1在设备生命周期内，质保期外，提供上门服务及维修优惠，承诺上门服务及维修可提供固定折扣优惠或固定优惠价格，备品备件在接到用户通知后，2小时内提供，备件备品均需为原厂生产的正品。</w:t>
            </w:r>
            <w:r>
              <w:rPr>
                <w:rFonts w:hint="eastAsia" w:ascii="宋体" w:hAnsi="宋体" w:eastAsia="宋体" w:cs="宋体"/>
                <w:b/>
                <w:bCs/>
                <w:color w:val="auto"/>
                <w:sz w:val="24"/>
                <w:szCs w:val="24"/>
                <w:highlight w:val="none"/>
                <w:lang w:eastAsia="zh-CN"/>
              </w:rPr>
              <w:t>并以书面形式提供承诺函原件并加盖公章。</w:t>
            </w:r>
          </w:p>
        </w:tc>
      </w:tr>
      <w:tr w14:paraId="5CD7C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73035CC5">
            <w:pPr>
              <w:pStyle w:val="4"/>
              <w:spacing w:before="78" w:beforeLines="25" w:after="78" w:afterLines="25" w:line="360" w:lineRule="exact"/>
              <w:ind w:firstLine="448" w:firstLineChars="187"/>
              <w:jc w:val="center"/>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266EAD08">
            <w:pPr>
              <w:pStyle w:val="4"/>
              <w:spacing w:before="78" w:beforeLines="25" w:after="78" w:afterLines="25" w:line="360" w:lineRule="exact"/>
              <w:ind w:firstLine="448" w:firstLineChars="187"/>
              <w:jc w:val="center"/>
              <w:rPr>
                <w:rFonts w:hint="eastAsia" w:ascii="宋体" w:hAnsi="宋体" w:eastAsia="宋体" w:cs="宋体"/>
                <w:sz w:val="24"/>
                <w:szCs w:val="24"/>
                <w:highlight w:val="yellow"/>
                <w:lang w:eastAsia="zh-CN"/>
              </w:rPr>
            </w:pPr>
          </w:p>
        </w:tc>
        <w:tc>
          <w:tcPr>
            <w:tcW w:w="6236" w:type="dxa"/>
            <w:tcBorders>
              <w:tl2br w:val="nil"/>
              <w:tr2bl w:val="nil"/>
            </w:tcBorders>
            <w:noWrap w:val="0"/>
            <w:vAlign w:val="center"/>
          </w:tcPr>
          <w:p w14:paraId="6F46129D">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1.2在设备生命周期内，质保期外，中标人应按备件的价格优惠提供保修服务。</w:t>
            </w:r>
          </w:p>
        </w:tc>
      </w:tr>
      <w:tr w14:paraId="66389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tcBorders>
              <w:tl2br w:val="nil"/>
              <w:tr2bl w:val="nil"/>
            </w:tcBorders>
            <w:noWrap w:val="0"/>
            <w:vAlign w:val="center"/>
          </w:tcPr>
          <w:p w14:paraId="1ED1DE14">
            <w:pPr>
              <w:pStyle w:val="4"/>
              <w:spacing w:before="78" w:beforeLines="25" w:after="78" w:afterLines="25" w:line="360" w:lineRule="exact"/>
              <w:ind w:left="0" w:leftChars="0"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1570" w:type="dxa"/>
            <w:tcBorders>
              <w:tl2br w:val="nil"/>
              <w:tr2bl w:val="nil"/>
            </w:tcBorders>
            <w:noWrap w:val="0"/>
            <w:vAlign w:val="center"/>
          </w:tcPr>
          <w:p w14:paraId="2689ABF2">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免费保修期外</w:t>
            </w:r>
          </w:p>
        </w:tc>
        <w:tc>
          <w:tcPr>
            <w:tcW w:w="6236" w:type="dxa"/>
            <w:tcBorders>
              <w:tl2br w:val="nil"/>
              <w:tr2bl w:val="nil"/>
            </w:tcBorders>
            <w:noWrap w:val="0"/>
            <w:vAlign w:val="center"/>
          </w:tcPr>
          <w:p w14:paraId="679F165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提供7天×24小时热线服务和终身免费技术支持。电话响应无法解决的，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小时内到达现场，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小时内处理完毕。若故障在8 小时内仍未处理完毕，中标人需在2小时内免费提供相同档次的设备给予用户临时使用或采取应急措施解决，不得影响用户的正常工作业务。</w:t>
            </w:r>
          </w:p>
          <w:p w14:paraId="79E8732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产品均是由原厂生产的正品，带有唯一的产品序列号。若产品不能实现所保证的功能，有任何问题，免费提供相关的技术支持、指导。</w:t>
            </w:r>
          </w:p>
        </w:tc>
      </w:tr>
      <w:tr w14:paraId="46785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24" w:type="dxa"/>
            <w:gridSpan w:val="3"/>
            <w:tcBorders>
              <w:tl2br w:val="nil"/>
              <w:tr2bl w:val="nil"/>
            </w:tcBorders>
            <w:noWrap w:val="0"/>
            <w:vAlign w:val="top"/>
          </w:tcPr>
          <w:p w14:paraId="04DA2C5F">
            <w:pPr>
              <w:pStyle w:val="4"/>
              <w:spacing w:before="78" w:beforeLines="25" w:after="78" w:afterLines="25" w:line="3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（三）其他商务要求</w:t>
            </w:r>
          </w:p>
        </w:tc>
      </w:tr>
      <w:tr w14:paraId="72F1A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38930DD4">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570" w:type="dxa"/>
            <w:vMerge w:val="restart"/>
            <w:tcBorders>
              <w:tl2br w:val="nil"/>
              <w:tr2bl w:val="nil"/>
            </w:tcBorders>
            <w:noWrap w:val="0"/>
            <w:vAlign w:val="center"/>
          </w:tcPr>
          <w:p w14:paraId="76E357A3">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关于交货</w:t>
            </w:r>
          </w:p>
        </w:tc>
        <w:tc>
          <w:tcPr>
            <w:tcW w:w="6236" w:type="dxa"/>
            <w:tcBorders>
              <w:tl2br w:val="nil"/>
              <w:tr2bl w:val="nil"/>
            </w:tcBorders>
            <w:noWrap w:val="0"/>
            <w:vAlign w:val="top"/>
          </w:tcPr>
          <w:p w14:paraId="237DD502">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交货地点：采购人办公地点或采购人在深圳的指定办公场所</w:t>
            </w:r>
          </w:p>
        </w:tc>
      </w:tr>
      <w:tr w14:paraId="298E3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4354FE61">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p>
        </w:tc>
        <w:tc>
          <w:tcPr>
            <w:tcW w:w="1570" w:type="dxa"/>
            <w:vMerge w:val="continue"/>
            <w:tcBorders>
              <w:tl2br w:val="nil"/>
              <w:tr2bl w:val="nil"/>
            </w:tcBorders>
            <w:noWrap w:val="0"/>
            <w:vAlign w:val="center"/>
          </w:tcPr>
          <w:p w14:paraId="6DEEB622">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p>
        </w:tc>
        <w:tc>
          <w:tcPr>
            <w:tcW w:w="6236" w:type="dxa"/>
            <w:tcBorders>
              <w:tl2br w:val="nil"/>
              <w:tr2bl w:val="nil"/>
            </w:tcBorders>
            <w:noWrap w:val="0"/>
            <w:vAlign w:val="top"/>
          </w:tcPr>
          <w:p w14:paraId="785C1333">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1.2中标人必须承担的设备运输、安装调试、验收检测和提供设备操作说明书、图纸等其他类似的义务。</w:t>
            </w:r>
          </w:p>
        </w:tc>
      </w:tr>
      <w:tr w14:paraId="5890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644171BF">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33AEC2C9">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6236" w:type="dxa"/>
            <w:tcBorders>
              <w:tl2br w:val="nil"/>
              <w:tr2bl w:val="nil"/>
            </w:tcBorders>
            <w:noWrap w:val="0"/>
            <w:vAlign w:val="top"/>
          </w:tcPr>
          <w:p w14:paraId="610326C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接到采购人供货通知后 7 天（日历日）内交货。</w:t>
            </w:r>
          </w:p>
        </w:tc>
      </w:tr>
      <w:tr w14:paraId="2E3B1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10F72112">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1570" w:type="dxa"/>
            <w:vMerge w:val="restart"/>
            <w:tcBorders>
              <w:tl2br w:val="nil"/>
              <w:tr2bl w:val="nil"/>
            </w:tcBorders>
            <w:noWrap w:val="0"/>
            <w:vAlign w:val="center"/>
          </w:tcPr>
          <w:p w14:paraId="08B16DD3">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安装调试及验收</w:t>
            </w:r>
          </w:p>
        </w:tc>
        <w:tc>
          <w:tcPr>
            <w:tcW w:w="6236" w:type="dxa"/>
            <w:tcBorders>
              <w:tl2br w:val="nil"/>
              <w:tr2bl w:val="nil"/>
            </w:tcBorders>
            <w:noWrap w:val="0"/>
            <w:vAlign w:val="center"/>
          </w:tcPr>
          <w:p w14:paraId="6862493E">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中标人应派有经验的技术人员到现场进行安装、调试，直到设备正常使用。中标供应商应当提供设备安装部署服务：包含部署方案规划，勘察选址，完成站点的遮挡情况及卫星质量勘探，电源网络接入，基础环境搭建，底座施工，土建施工，接电接网布线，管线敷设，接地电阻，设备安装运输，设备固定，电线、网线、地线连接，网络、备降点、位置标定部署服务，飞行测试服务。包含安装部署的人力，交通费用。</w:t>
            </w:r>
          </w:p>
        </w:tc>
      </w:tr>
      <w:tr w14:paraId="6FFB8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2DB6AD94">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282D1027">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6236" w:type="dxa"/>
            <w:tcBorders>
              <w:tl2br w:val="nil"/>
              <w:tr2bl w:val="nil"/>
            </w:tcBorders>
            <w:noWrap w:val="0"/>
            <w:vAlign w:val="center"/>
          </w:tcPr>
          <w:p w14:paraId="73550167">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由采购人按合同和招标、投标文件约定的要求和标准及中华人民共和国现行的验收规范和标准进行交货验收。</w:t>
            </w:r>
          </w:p>
        </w:tc>
      </w:tr>
      <w:tr w14:paraId="371F3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6CA8CEF7">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41A3D68C">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6236" w:type="dxa"/>
            <w:tcBorders>
              <w:tl2br w:val="nil"/>
              <w:tr2bl w:val="nil"/>
            </w:tcBorders>
            <w:noWrap w:val="0"/>
            <w:vAlign w:val="center"/>
          </w:tcPr>
          <w:p w14:paraId="4E74E560">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中标人货物经过双方检验认可后，签署验收报告，产品保修期自验收合格之日起算，由中标人提供产品保修文件。</w:t>
            </w:r>
          </w:p>
        </w:tc>
      </w:tr>
      <w:tr w14:paraId="2CC50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54C28681">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78A74C37">
            <w:pPr>
              <w:pStyle w:val="4"/>
              <w:spacing w:before="78" w:beforeLines="25" w:after="78" w:afterLines="25" w:line="360" w:lineRule="exact"/>
              <w:ind w:firstLine="448" w:firstLineChars="187"/>
              <w:rPr>
                <w:rFonts w:hint="eastAsia" w:ascii="宋体" w:hAnsi="宋体" w:eastAsia="宋体" w:cs="宋体"/>
                <w:sz w:val="24"/>
                <w:szCs w:val="24"/>
                <w:highlight w:val="yellow"/>
                <w:lang w:eastAsia="zh-CN"/>
              </w:rPr>
            </w:pPr>
          </w:p>
        </w:tc>
        <w:tc>
          <w:tcPr>
            <w:tcW w:w="6236" w:type="dxa"/>
            <w:tcBorders>
              <w:tl2br w:val="nil"/>
              <w:tr2bl w:val="nil"/>
            </w:tcBorders>
            <w:noWrap w:val="0"/>
            <w:vAlign w:val="center"/>
          </w:tcPr>
          <w:p w14:paraId="1D0D41F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当满足以下条件时，采购人才向中标人签发货物验收报告：</w:t>
            </w:r>
          </w:p>
          <w:p w14:paraId="5F1B2838">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（1）设备全新,外观无伤痕变形或明显修饰痕迹。</w:t>
            </w:r>
          </w:p>
          <w:p w14:paraId="5E053F1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AAC405B">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（3）技术文件资料、备件等已按规定数量移交完毕。</w:t>
            </w:r>
          </w:p>
          <w:p w14:paraId="1B669F72">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（4）按照招标书要求及投标文件提供的技术要求验收必须合格。</w:t>
            </w:r>
          </w:p>
          <w:p w14:paraId="321CEC47">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中标人提供的各种文件载明的内容必须真实，其技术数据采购人有权要求中标人无偿提供采购人认可的第三方按照双方同意的试验方法进行检测。检测结果必须证明中标人提供的技术数据是真实的，否则视为不合格。</w:t>
            </w:r>
          </w:p>
          <w:p w14:paraId="073C75E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（6）货物具备产品合格证。</w:t>
            </w:r>
          </w:p>
          <w:p w14:paraId="11CE8DF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（7）在货物安装调试合格后，所有技术指标达到技术规范书要求，经验收合格后，双方共同签署验收报告。</w:t>
            </w:r>
          </w:p>
        </w:tc>
      </w:tr>
      <w:tr w14:paraId="1B6D7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tcBorders>
              <w:tl2br w:val="nil"/>
              <w:tr2bl w:val="nil"/>
            </w:tcBorders>
            <w:noWrap w:val="0"/>
            <w:vAlign w:val="center"/>
          </w:tcPr>
          <w:p w14:paraId="4ED8A093">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1570" w:type="dxa"/>
            <w:tcBorders>
              <w:tl2br w:val="nil"/>
              <w:tr2bl w:val="nil"/>
            </w:tcBorders>
            <w:noWrap w:val="0"/>
            <w:vAlign w:val="center"/>
          </w:tcPr>
          <w:p w14:paraId="1519D48B">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培训要求</w:t>
            </w:r>
          </w:p>
        </w:tc>
        <w:tc>
          <w:tcPr>
            <w:tcW w:w="6236" w:type="dxa"/>
            <w:tcBorders>
              <w:tl2br w:val="nil"/>
              <w:tr2bl w:val="nil"/>
            </w:tcBorders>
            <w:noWrap w:val="0"/>
            <w:vAlign w:val="top"/>
          </w:tcPr>
          <w:p w14:paraId="01DB52F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中标人提供实地现场培训：在设备安装、调试完后，派出熟悉本项目的技术人员对用户的相关技术人员进行现场培训。培训内容包括设备的参数的设置、操作、维护保养、应急处理、简单故障排除、终端技术以及软件的安装、设置、使用等，以确保用户能够独立进行日常的维护、保养和管理，并提供飞行合格证。培训单位需具备民用无人驾驶航空器经营许可证和民用无人机驾驶员训练机构合格证。</w:t>
            </w:r>
          </w:p>
        </w:tc>
      </w:tr>
      <w:tr w14:paraId="2E2A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restart"/>
            <w:tcBorders>
              <w:tl2br w:val="nil"/>
              <w:tr2bl w:val="nil"/>
            </w:tcBorders>
            <w:noWrap w:val="0"/>
            <w:vAlign w:val="center"/>
          </w:tcPr>
          <w:p w14:paraId="31AD25BC">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p>
        </w:tc>
        <w:tc>
          <w:tcPr>
            <w:tcW w:w="1570" w:type="dxa"/>
            <w:vMerge w:val="restart"/>
            <w:tcBorders>
              <w:tl2br w:val="nil"/>
              <w:tr2bl w:val="nil"/>
            </w:tcBorders>
            <w:noWrap w:val="0"/>
            <w:vAlign w:val="center"/>
          </w:tcPr>
          <w:p w14:paraId="76DD8146">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关于违约</w:t>
            </w:r>
          </w:p>
        </w:tc>
        <w:tc>
          <w:tcPr>
            <w:tcW w:w="6236" w:type="dxa"/>
            <w:tcBorders>
              <w:tl2br w:val="nil"/>
              <w:tr2bl w:val="nil"/>
            </w:tcBorders>
            <w:noWrap w:val="0"/>
            <w:vAlign w:val="top"/>
          </w:tcPr>
          <w:p w14:paraId="16552148">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中标人不能交货的，需偿付不能交货部分货款的10%的违约金并按主管部门相关规定处理。</w:t>
            </w:r>
          </w:p>
        </w:tc>
      </w:tr>
      <w:tr w14:paraId="23664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5D86BECF">
            <w:pPr>
              <w:pStyle w:val="4"/>
              <w:spacing w:before="78" w:beforeLines="25" w:after="78" w:afterLines="25" w:line="360" w:lineRule="exact"/>
              <w:ind w:firstLine="448" w:firstLineChars="187"/>
              <w:jc w:val="center"/>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7159D7A5">
            <w:pPr>
              <w:pStyle w:val="4"/>
              <w:spacing w:before="78" w:beforeLines="25" w:after="78" w:afterLines="25" w:line="360" w:lineRule="exact"/>
              <w:ind w:firstLine="448" w:firstLineChars="187"/>
              <w:jc w:val="center"/>
              <w:rPr>
                <w:rFonts w:hint="eastAsia" w:ascii="宋体" w:hAnsi="宋体" w:eastAsia="宋体" w:cs="宋体"/>
                <w:sz w:val="24"/>
                <w:szCs w:val="24"/>
                <w:highlight w:val="yellow"/>
                <w:lang w:eastAsia="zh-CN"/>
              </w:rPr>
            </w:pPr>
          </w:p>
        </w:tc>
        <w:tc>
          <w:tcPr>
            <w:tcW w:w="6236" w:type="dxa"/>
            <w:tcBorders>
              <w:tl2br w:val="nil"/>
              <w:tr2bl w:val="nil"/>
            </w:tcBorders>
            <w:noWrap w:val="0"/>
            <w:vAlign w:val="top"/>
          </w:tcPr>
          <w:p w14:paraId="3D6C827A">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中标人逾期交货的，将被没收履约保证金并按主管部门相关 规定处理。</w:t>
            </w:r>
          </w:p>
        </w:tc>
      </w:tr>
      <w:tr w14:paraId="1BEF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vMerge w:val="continue"/>
            <w:tcBorders>
              <w:tl2br w:val="nil"/>
              <w:tr2bl w:val="nil"/>
            </w:tcBorders>
            <w:noWrap w:val="0"/>
            <w:vAlign w:val="center"/>
          </w:tcPr>
          <w:p w14:paraId="414B2D64">
            <w:pPr>
              <w:pStyle w:val="4"/>
              <w:spacing w:before="78" w:beforeLines="25" w:after="78" w:afterLines="25" w:line="360" w:lineRule="exact"/>
              <w:ind w:firstLine="448" w:firstLineChars="187"/>
              <w:jc w:val="center"/>
              <w:rPr>
                <w:rFonts w:hint="eastAsia" w:ascii="宋体" w:hAnsi="宋体" w:eastAsia="宋体" w:cs="宋体"/>
                <w:sz w:val="24"/>
                <w:szCs w:val="24"/>
                <w:highlight w:val="yellow"/>
                <w:lang w:eastAsia="zh-CN"/>
              </w:rPr>
            </w:pPr>
          </w:p>
        </w:tc>
        <w:tc>
          <w:tcPr>
            <w:tcW w:w="1570" w:type="dxa"/>
            <w:vMerge w:val="continue"/>
            <w:tcBorders>
              <w:tl2br w:val="nil"/>
              <w:tr2bl w:val="nil"/>
            </w:tcBorders>
            <w:noWrap w:val="0"/>
            <w:vAlign w:val="center"/>
          </w:tcPr>
          <w:p w14:paraId="3932A9B3">
            <w:pPr>
              <w:pStyle w:val="4"/>
              <w:spacing w:before="78" w:beforeLines="25" w:after="78" w:afterLines="25" w:line="360" w:lineRule="exact"/>
              <w:ind w:firstLine="448" w:firstLineChars="187"/>
              <w:jc w:val="center"/>
              <w:rPr>
                <w:rFonts w:hint="eastAsia" w:ascii="宋体" w:hAnsi="宋体" w:eastAsia="宋体" w:cs="宋体"/>
                <w:sz w:val="24"/>
                <w:szCs w:val="24"/>
                <w:highlight w:val="yellow"/>
                <w:lang w:eastAsia="zh-CN"/>
              </w:rPr>
            </w:pPr>
          </w:p>
        </w:tc>
        <w:tc>
          <w:tcPr>
            <w:tcW w:w="6236" w:type="dxa"/>
            <w:tcBorders>
              <w:tl2br w:val="nil"/>
              <w:tr2bl w:val="nil"/>
            </w:tcBorders>
            <w:noWrap w:val="0"/>
            <w:vAlign w:val="top"/>
          </w:tcPr>
          <w:p w14:paraId="13D2E3DC">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 中标人所交付产品、工程或服务不符合其投标承诺的，或在投标阶段为了中标而盲目虚假承诺、低价恶性竞争，在履约阶段则通过偷工减料、以次充好而获取利润的，将被履约评价工作实施机构评为履约等级“差 ”并按主管部门相关规定处理。</w:t>
            </w:r>
          </w:p>
        </w:tc>
      </w:tr>
      <w:tr w14:paraId="695D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tcBorders>
              <w:tl2br w:val="nil"/>
              <w:tr2bl w:val="nil"/>
            </w:tcBorders>
            <w:noWrap w:val="0"/>
            <w:vAlign w:val="center"/>
          </w:tcPr>
          <w:p w14:paraId="187EF464">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p>
        </w:tc>
        <w:tc>
          <w:tcPr>
            <w:tcW w:w="1570" w:type="dxa"/>
            <w:tcBorders>
              <w:tl2br w:val="nil"/>
              <w:tr2bl w:val="nil"/>
            </w:tcBorders>
            <w:noWrap w:val="0"/>
            <w:vAlign w:val="center"/>
          </w:tcPr>
          <w:p w14:paraId="5403C387">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关于付款</w:t>
            </w:r>
          </w:p>
        </w:tc>
        <w:tc>
          <w:tcPr>
            <w:tcW w:w="6236" w:type="dxa"/>
            <w:tcBorders>
              <w:tl2br w:val="nil"/>
              <w:tr2bl w:val="nil"/>
            </w:tcBorders>
            <w:noWrap w:val="0"/>
            <w:vAlign w:val="center"/>
          </w:tcPr>
          <w:p w14:paraId="6A78B756">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5.1付款方式：</w:t>
            </w:r>
          </w:p>
          <w:p w14:paraId="260BE18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（1）自合同签订生效，采购人向中标人支付合同总价款（含税）的 50%；</w:t>
            </w:r>
          </w:p>
          <w:p w14:paraId="201BE16F">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（2）所有设备到货且安装调试完毕，经采购人验收合格、双方办理交接手续后，采购人向中标人支付剩余款项。</w:t>
            </w:r>
          </w:p>
          <w:p w14:paraId="5D4D7574">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（3）采购人向中标人付款前，中标人应提供等额发票。</w:t>
            </w:r>
          </w:p>
        </w:tc>
      </w:tr>
      <w:tr w14:paraId="0E64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tcBorders>
              <w:tl2br w:val="nil"/>
              <w:tr2bl w:val="nil"/>
            </w:tcBorders>
            <w:noWrap w:val="0"/>
            <w:vAlign w:val="center"/>
          </w:tcPr>
          <w:p w14:paraId="1D6C600E">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w:t>
            </w:r>
          </w:p>
        </w:tc>
        <w:tc>
          <w:tcPr>
            <w:tcW w:w="1570" w:type="dxa"/>
            <w:tcBorders>
              <w:tl2br w:val="nil"/>
              <w:tr2bl w:val="nil"/>
            </w:tcBorders>
            <w:noWrap w:val="0"/>
            <w:vAlign w:val="center"/>
          </w:tcPr>
          <w:p w14:paraId="0E2AF6B8">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报价要求</w:t>
            </w:r>
          </w:p>
        </w:tc>
        <w:tc>
          <w:tcPr>
            <w:tcW w:w="6236" w:type="dxa"/>
            <w:tcBorders>
              <w:tl2br w:val="nil"/>
              <w:tr2bl w:val="nil"/>
            </w:tcBorders>
            <w:noWrap w:val="0"/>
            <w:vAlign w:val="center"/>
          </w:tcPr>
          <w:p w14:paraId="439872A1">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人投标报价不得超过分项报价表的最高限价和分项限价，否则按废标处理，分项报价表见附表一。投标总价必须是完成该项目的一切费用总和，包括设备费、运输费、装卸费、保险费、技术培训费、设备安装费、调试费、国家规定的各项税费等全部费用。</w:t>
            </w:r>
          </w:p>
        </w:tc>
      </w:tr>
      <w:tr w14:paraId="3E8CB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18" w:type="dxa"/>
            <w:tcBorders>
              <w:tl2br w:val="nil"/>
              <w:tr2bl w:val="nil"/>
            </w:tcBorders>
            <w:noWrap w:val="0"/>
            <w:vAlign w:val="center"/>
          </w:tcPr>
          <w:p w14:paraId="57071801">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w:t>
            </w:r>
          </w:p>
        </w:tc>
        <w:tc>
          <w:tcPr>
            <w:tcW w:w="1570" w:type="dxa"/>
            <w:tcBorders>
              <w:tl2br w:val="nil"/>
              <w:tr2bl w:val="nil"/>
            </w:tcBorders>
            <w:noWrap w:val="0"/>
            <w:vAlign w:val="center"/>
          </w:tcPr>
          <w:p w14:paraId="6E7526FF">
            <w:pPr>
              <w:pStyle w:val="4"/>
              <w:spacing w:before="78" w:beforeLines="25" w:after="78" w:afterLines="25"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其他要求</w:t>
            </w:r>
          </w:p>
        </w:tc>
        <w:tc>
          <w:tcPr>
            <w:tcW w:w="6236" w:type="dxa"/>
            <w:tcBorders>
              <w:tl2br w:val="nil"/>
              <w:tr2bl w:val="nil"/>
            </w:tcBorders>
            <w:noWrap w:val="0"/>
            <w:vAlign w:val="center"/>
          </w:tcPr>
          <w:p w14:paraId="3DBBFFA4">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中标方对货物的包装及运输应不低于《商品包装政府采购标准（试行）》及《快递包装政府采购需求标准（试行）》标准，并确保货物安全无损地运抵现场。</w:t>
            </w:r>
          </w:p>
          <w:p w14:paraId="182F513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 鉴于本项目涉及采购人内部涉密数据，双方需在合同签订时一并签订保密协议。</w:t>
            </w:r>
          </w:p>
          <w:p w14:paraId="5B1A1DA6">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办公室及网络环境由采购人提供，电脑、桌椅等办公设备及用品中标人自理，特殊岗位另行专门约定。</w:t>
            </w:r>
          </w:p>
          <w:p w14:paraId="7B7BE9D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为持续提升信息化运维服务质量，保障业务应用系统安全稳定运行，规范信息化运维服务质量评价管理工作参照《深圳市公安局信息化运维服务质量评价管理办法》进行运维服务质量评价，要求中标方配合落实好相关工作。</w:t>
            </w:r>
          </w:p>
          <w:p w14:paraId="6C7DD16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7.5中标方应严格遵守公安机关计算机保密技术防范系统管理有关规定，包括但不限于：一是严禁涉密信息外泄；二是杜绝违规使用“两用U盘”、“一机两用”等情况。</w:t>
            </w:r>
          </w:p>
          <w:p w14:paraId="3CFC5B4A">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7.6采购方须配合采购方做好项目范围内相关资产清查、盘点等工作。</w:t>
            </w:r>
          </w:p>
          <w:p w14:paraId="4138A2E2">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7.7中标方须对其出售的货物享有合法的权利，并保证交付的货物上不存在抵押权等担保物权。</w:t>
            </w:r>
          </w:p>
          <w:p w14:paraId="40A2EF20">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7.8中标方对其所销售的货物应当享有知识产权或经权利人合法授权，保证没有侵犯任何第三人的知识产权等权利。</w:t>
            </w:r>
          </w:p>
        </w:tc>
      </w:tr>
    </w:tbl>
    <w:p w14:paraId="17F7A630">
      <w:pPr>
        <w:pStyle w:val="4"/>
        <w:spacing w:before="78" w:beforeLines="25" w:after="78" w:afterLines="25" w:line="360" w:lineRule="exact"/>
        <w:ind w:firstLine="374" w:firstLineChars="187"/>
        <w:rPr>
          <w:rFonts w:hint="eastAsia" w:ascii="宋体" w:hAnsi="宋体" w:eastAsia="宋体" w:cs="宋体"/>
          <w:szCs w:val="21"/>
          <w:highlight w:val="yellow"/>
        </w:rPr>
      </w:pPr>
    </w:p>
    <w:p w14:paraId="4E720F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20A26"/>
    <w:multiLevelType w:val="multilevel"/>
    <w:tmpl w:val="13920A26"/>
    <w:lvl w:ilvl="0" w:tentative="0">
      <w:start w:val="1"/>
      <w:numFmt w:val="decimal"/>
      <w:pStyle w:val="3"/>
      <w:suff w:val="nothing"/>
      <w:lvlText w:val="%1"/>
      <w:lvlJc w:val="center"/>
      <w:pPr>
        <w:ind w:left="-142" w:firstLine="142"/>
      </w:pPr>
      <w:rPr>
        <w:rFonts w:hint="default" w:ascii="Times New Roman" w:hAnsi="Times New Roman"/>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931DA"/>
    <w:rsid w:val="0CA931DA"/>
    <w:rsid w:val="4C5E664E"/>
    <w:rsid w:val="5FDA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cs="Times New Roman"/>
    </w:rPr>
  </w:style>
  <w:style w:type="paragraph" w:styleId="3">
    <w:name w:val="Body Text"/>
    <w:basedOn w:val="1"/>
    <w:next w:val="1"/>
    <w:unhideWhenUsed/>
    <w:qFormat/>
    <w:uiPriority w:val="99"/>
    <w:pPr>
      <w:numPr>
        <w:ilvl w:val="0"/>
        <w:numId w:val="1"/>
      </w:numPr>
      <w:spacing w:after="120"/>
    </w:pPr>
    <w:rPr>
      <w:rFonts w:ascii="Cambria" w:hAnsi="Cambria" w:eastAsia="微软雅黑"/>
      <w:color w:val="595959"/>
      <w:kern w:val="20"/>
      <w:lang w:val="zh-CN" w:eastAsia="zh-CN" w:bidi="ar-SA"/>
    </w:rPr>
  </w:style>
  <w:style w:type="paragraph" w:styleId="4">
    <w:name w:val="Normal Indent"/>
    <w:basedOn w:val="1"/>
    <w:next w:val="3"/>
    <w:qFormat/>
    <w:uiPriority w:val="0"/>
    <w:pPr>
      <w:ind w:firstLine="420" w:firstLineChars="200"/>
    </w:pPr>
    <w:rPr>
      <w:kern w:val="0"/>
      <w:sz w:val="20"/>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4198</Words>
  <Characters>4296</Characters>
  <Lines>0</Lines>
  <Paragraphs>0</Paragraphs>
  <TotalTime>1</TotalTime>
  <ScaleCrop>false</ScaleCrop>
  <LinksUpToDate>false</LinksUpToDate>
  <CharactersWithSpaces>4328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2025-06-19T13:53:00Z</dcterms:created>
  <dc:creator>bubble</dc:creator>
  <cp:lastModifiedBy>bubble</cp:lastModifiedBy>
  <dcterms:modified xsi:type="dcterms:W3CDTF">2025-06-20T08:37:09Z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40FF0FA369724692B0B94C435CFB4DE5_11</vt:lpwstr>
  </property>
  <property fmtid="{D5CDD505-2E9C-101B-9397-08002B2CF9AE}" pid="4" name="KSOTemplateDocerSaveRecord">
    <vt:lpwstr>eyJoZGlkIjoiM2MxZWQzNWUzZjNkN2M0OTRlYTFhODQyNDA2OTU5ZTciLCJ1c2VySWQiOiIyNDIzOTIxODcifQ==</vt:lpwstr>
  </property>
</Properties>
</file>