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77777777" w:rsidR="00D3217C" w:rsidRDefault="007524D1">
      <w:pPr>
        <w:jc w:val="center"/>
        <w:rPr>
          <w:b/>
          <w:sz w:val="32"/>
          <w:szCs w:val="32"/>
        </w:rPr>
      </w:pPr>
      <w:r>
        <w:rPr>
          <w:rFonts w:hint="eastAsia"/>
          <w:b/>
          <w:sz w:val="32"/>
          <w:szCs w:val="32"/>
        </w:rPr>
        <w:t>工程系高性能工作站采购</w:t>
      </w:r>
    </w:p>
    <w:p w14:paraId="5679EEA9" w14:textId="77777777" w:rsidR="00D3217C" w:rsidRDefault="007524D1">
      <w:pPr>
        <w:ind w:firstLineChars="200" w:firstLine="560"/>
        <w:rPr>
          <w:rFonts w:ascii="仿宋" w:eastAsia="仿宋" w:hAnsi="仿宋"/>
          <w:sz w:val="28"/>
          <w:szCs w:val="28"/>
        </w:rPr>
      </w:pPr>
      <w:r>
        <w:rPr>
          <w:rFonts w:ascii="仿宋" w:eastAsia="仿宋" w:hAnsi="仿宋"/>
          <w:sz w:val="28"/>
          <w:szCs w:val="28"/>
        </w:rPr>
        <w:t>拟购置</w:t>
      </w:r>
      <w:r>
        <w:rPr>
          <w:rFonts w:ascii="仿宋" w:eastAsia="仿宋" w:hAnsi="仿宋" w:hint="eastAsia"/>
          <w:sz w:val="28"/>
          <w:szCs w:val="28"/>
        </w:rPr>
        <w:t>实验室用高性能工作站2台，采购预算预计共210000</w:t>
      </w:r>
      <w:r>
        <w:rPr>
          <w:rFonts w:ascii="仿宋" w:eastAsia="仿宋" w:hAnsi="仿宋"/>
          <w:sz w:val="28"/>
          <w:szCs w:val="28"/>
        </w:rPr>
        <w:t>元，</w:t>
      </w:r>
      <w:r>
        <w:rPr>
          <w:rFonts w:ascii="仿宋" w:eastAsia="仿宋" w:hAnsi="仿宋" w:hint="eastAsia"/>
          <w:sz w:val="28"/>
          <w:szCs w:val="28"/>
        </w:rPr>
        <w:t>详见下表。</w:t>
      </w:r>
    </w:p>
    <w:tbl>
      <w:tblPr>
        <w:tblStyle w:val="a7"/>
        <w:tblW w:w="0" w:type="auto"/>
        <w:jc w:val="center"/>
        <w:tblLook w:val="04A0" w:firstRow="1" w:lastRow="0" w:firstColumn="1" w:lastColumn="0" w:noHBand="0" w:noVBand="1"/>
      </w:tblPr>
      <w:tblGrid>
        <w:gridCol w:w="505"/>
        <w:gridCol w:w="2256"/>
        <w:gridCol w:w="2699"/>
        <w:gridCol w:w="947"/>
        <w:gridCol w:w="505"/>
        <w:gridCol w:w="505"/>
        <w:gridCol w:w="879"/>
      </w:tblGrid>
      <w:tr w:rsidR="00F837FC" w14:paraId="2B2198E4" w14:textId="77777777">
        <w:trPr>
          <w:tblHeader/>
          <w:jc w:val="center"/>
        </w:trPr>
        <w:tc>
          <w:tcPr>
            <w:tcW w:w="0" w:type="auto"/>
            <w:vAlign w:val="center"/>
          </w:tcPr>
          <w:p w14:paraId="4C15E3FF"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0" w:type="auto"/>
            <w:vAlign w:val="center"/>
          </w:tcPr>
          <w:p w14:paraId="7ED894A9"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商品名称</w:t>
            </w:r>
          </w:p>
        </w:tc>
        <w:tc>
          <w:tcPr>
            <w:tcW w:w="0" w:type="auto"/>
            <w:vAlign w:val="center"/>
          </w:tcPr>
          <w:p w14:paraId="1535406B"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0" w:type="auto"/>
            <w:vAlign w:val="center"/>
          </w:tcPr>
          <w:p w14:paraId="7F648594"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预算单价</w:t>
            </w:r>
          </w:p>
          <w:p w14:paraId="55CC0E3B"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（元）</w:t>
            </w:r>
          </w:p>
        </w:tc>
        <w:tc>
          <w:tcPr>
            <w:tcW w:w="0" w:type="auto"/>
            <w:vAlign w:val="center"/>
          </w:tcPr>
          <w:p w14:paraId="104ACA93"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0" w:type="auto"/>
            <w:vAlign w:val="center"/>
          </w:tcPr>
          <w:p w14:paraId="204A146A"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0" w:type="auto"/>
            <w:vAlign w:val="center"/>
          </w:tcPr>
          <w:p w14:paraId="44BC82D1"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w:t>
            </w:r>
          </w:p>
          <w:p w14:paraId="54FDE406" w14:textId="77777777" w:rsidR="00D3217C" w:rsidRDefault="007524D1">
            <w:pPr>
              <w:snapToGrid w:val="0"/>
              <w:jc w:val="center"/>
              <w:rPr>
                <w:rFonts w:ascii="Times New Roman" w:eastAsia="宋体" w:hAnsi="Times New Roman" w:cs="Times New Roman"/>
                <w:b/>
                <w:sz w:val="22"/>
                <w:szCs w:val="28"/>
              </w:rPr>
            </w:pPr>
            <w:r>
              <w:rPr>
                <w:rFonts w:ascii="Times New Roman" w:eastAsia="宋体" w:hAnsi="Times New Roman" w:cs="Times New Roman"/>
                <w:b/>
                <w:sz w:val="22"/>
                <w:szCs w:val="28"/>
              </w:rPr>
              <w:t>（元）</w:t>
            </w:r>
          </w:p>
        </w:tc>
      </w:tr>
      <w:tr w:rsidR="00F837FC" w14:paraId="1ED9DBD3" w14:textId="77777777">
        <w:trPr>
          <w:jc w:val="center"/>
        </w:trPr>
        <w:tc>
          <w:tcPr>
            <w:tcW w:w="0" w:type="auto"/>
            <w:vAlign w:val="center"/>
          </w:tcPr>
          <w:p w14:paraId="42F32D15" w14:textId="77777777" w:rsidR="00D3217C" w:rsidRDefault="007524D1">
            <w:pPr>
              <w:snapToGrid w:val="0"/>
              <w:jc w:val="center"/>
              <w:rPr>
                <w:rFonts w:ascii="仿宋_GB2312" w:eastAsia="仿宋_GB2312" w:hAnsi="Times New Roman" w:cs="Times New Roman"/>
                <w:color w:val="C00000"/>
                <w:sz w:val="20"/>
                <w:szCs w:val="24"/>
              </w:rPr>
            </w:pPr>
            <w:r>
              <w:rPr>
                <w:rFonts w:ascii="仿宋_GB2312" w:eastAsia="仿宋_GB2312" w:hAnsi="Times New Roman" w:cs="Times New Roman"/>
                <w:color w:val="C00000"/>
                <w:sz w:val="20"/>
                <w:szCs w:val="24"/>
              </w:rPr>
              <w:t>1</w:t>
            </w:r>
          </w:p>
        </w:tc>
        <w:tc>
          <w:tcPr>
            <w:tcW w:w="0" w:type="auto"/>
            <w:shd w:val="clear" w:color="auto" w:fill="auto"/>
            <w:vAlign w:val="center"/>
          </w:tcPr>
          <w:p w14:paraId="061558B2" w14:textId="7265F544" w:rsidR="00D3217C" w:rsidRDefault="00F837FC">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联泰集群（LTHPC</w:t>
            </w:r>
            <w:r>
              <w:rPr>
                <w:rFonts w:ascii="仿宋_GB2312" w:eastAsia="仿宋_GB2312" w:hAnsi="仿宋_GB2312" w:cs="仿宋_GB2312"/>
                <w:sz w:val="20"/>
                <w:szCs w:val="24"/>
              </w:rPr>
              <w:t>）</w:t>
            </w:r>
            <w:r w:rsidR="007524D1">
              <w:rPr>
                <w:rFonts w:ascii="仿宋_GB2312" w:eastAsia="仿宋_GB2312" w:hAnsi="仿宋_GB2312" w:cs="仿宋_GB2312" w:hint="eastAsia"/>
                <w:sz w:val="20"/>
                <w:szCs w:val="24"/>
              </w:rPr>
              <w:t>高性能塔式静音工作站</w:t>
            </w:r>
            <w:r>
              <w:rPr>
                <w:rFonts w:ascii="仿宋_GB2312" w:eastAsia="仿宋_GB2312" w:hAnsi="仿宋_GB2312" w:cs="仿宋_GB2312" w:hint="eastAsia"/>
                <w:sz w:val="20"/>
                <w:szCs w:val="24"/>
              </w:rPr>
              <w:t xml:space="preserve"> W5232</w:t>
            </w:r>
            <w:r>
              <w:rPr>
                <w:rFonts w:ascii="仿宋_GB2312" w:eastAsia="仿宋_GB2312" w:hAnsi="仿宋_GB2312" w:cs="仿宋_GB2312"/>
                <w:sz w:val="20"/>
                <w:szCs w:val="24"/>
              </w:rPr>
              <w:t xml:space="preserve"> </w:t>
            </w:r>
            <w:r>
              <w:rPr>
                <w:rFonts w:ascii="仿宋_GB2312" w:eastAsia="仿宋_GB2312" w:hAnsi="仿宋_GB2312" w:cs="仿宋_GB2312" w:hint="eastAsia"/>
                <w:sz w:val="20"/>
                <w:szCs w:val="24"/>
              </w:rPr>
              <w:t>G3</w:t>
            </w:r>
          </w:p>
        </w:tc>
        <w:tc>
          <w:tcPr>
            <w:tcW w:w="0" w:type="auto"/>
            <w:shd w:val="clear" w:color="auto" w:fill="auto"/>
            <w:vAlign w:val="center"/>
          </w:tcPr>
          <w:p w14:paraId="2600DC11"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1处理器</w:t>
            </w:r>
          </w:p>
          <w:p w14:paraId="571618CC"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1.1核心≥12 基础主频≥2.00Ghz,</w:t>
            </w:r>
            <w:proofErr w:type="gramStart"/>
            <w:r>
              <w:rPr>
                <w:rFonts w:ascii="仿宋_GB2312" w:eastAsia="仿宋_GB2312" w:hAnsi="仿宋_GB2312" w:cs="仿宋_GB2312" w:hint="eastAsia"/>
                <w:sz w:val="15"/>
                <w:szCs w:val="15"/>
              </w:rPr>
              <w:t>睿</w:t>
            </w:r>
            <w:proofErr w:type="gramEnd"/>
            <w:r>
              <w:rPr>
                <w:rFonts w:ascii="仿宋_GB2312" w:eastAsia="仿宋_GB2312" w:hAnsi="仿宋_GB2312" w:cs="仿宋_GB2312" w:hint="eastAsia"/>
                <w:sz w:val="15"/>
                <w:szCs w:val="15"/>
              </w:rPr>
              <w:t>频≥3.9Ghz，三级缓存≥30MB</w:t>
            </w:r>
          </w:p>
          <w:p w14:paraId="5C72E4D2"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1.2处理器个数≥2</w:t>
            </w:r>
          </w:p>
          <w:p w14:paraId="537B1423"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1.3散热方式：液冷散热</w:t>
            </w:r>
          </w:p>
          <w:p w14:paraId="69AE4C57"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2内存</w:t>
            </w:r>
          </w:p>
          <w:p w14:paraId="31670E9D"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2.1 容量≥128GB DDR5-4800；</w:t>
            </w:r>
          </w:p>
          <w:p w14:paraId="0A478075"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2.2 配置≥ 4 x 32GB RDIMM。</w:t>
            </w:r>
          </w:p>
          <w:p w14:paraId="3AF4B9F4"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3 GPU</w:t>
            </w:r>
          </w:p>
          <w:p w14:paraId="41EE81D7"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3.1 数量: ≥1卡；</w:t>
            </w:r>
          </w:p>
          <w:p w14:paraId="2D51F3CC"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3.2 CUDA核心≥21760，显存≥32G GDDR7，显存带宽≥1792GB/s，功率≥575W，PCI-E5.0接口；</w:t>
            </w:r>
          </w:p>
          <w:p w14:paraId="56E8E52D"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4 存储</w:t>
            </w:r>
          </w:p>
          <w:p w14:paraId="35917E56"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4.1 系统盘≥1个1.92T 企业级 NVME U.2 Gen5 固态硬盘；</w:t>
            </w:r>
          </w:p>
          <w:p w14:paraId="0EDEA9D8"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5 电源</w:t>
            </w:r>
          </w:p>
          <w:p w14:paraId="6BEF6530"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5.1 ≥1*1650W电源</w:t>
            </w:r>
          </w:p>
          <w:p w14:paraId="2FC3264B"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6 主板插槽: ≥6个PCI-e 5.0插槽</w:t>
            </w:r>
          </w:p>
          <w:p w14:paraId="7F21639D"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7 机箱规格：</w:t>
            </w:r>
          </w:p>
          <w:p w14:paraId="12956818"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7.1 类型: 塔式机箱，≥</w:t>
            </w:r>
            <w:proofErr w:type="gramStart"/>
            <w:r>
              <w:rPr>
                <w:rFonts w:ascii="仿宋_GB2312" w:eastAsia="仿宋_GB2312" w:hAnsi="仿宋_GB2312" w:cs="仿宋_GB2312" w:hint="eastAsia"/>
                <w:sz w:val="15"/>
                <w:szCs w:val="15"/>
              </w:rPr>
              <w:t>4盘位热插拔</w:t>
            </w:r>
            <w:proofErr w:type="gramEnd"/>
            <w:r>
              <w:rPr>
                <w:rFonts w:ascii="仿宋_GB2312" w:eastAsia="仿宋_GB2312" w:hAnsi="仿宋_GB2312" w:cs="仿宋_GB2312" w:hint="eastAsia"/>
                <w:sz w:val="15"/>
                <w:szCs w:val="15"/>
              </w:rPr>
              <w:t xml:space="preserve">硬盘位； </w:t>
            </w:r>
          </w:p>
          <w:p w14:paraId="1C752D9C" w14:textId="77777777" w:rsidR="00D3217C" w:rsidRDefault="007524D1">
            <w:pPr>
              <w:jc w:val="left"/>
              <w:rPr>
                <w:rFonts w:ascii="仿宋_GB2312" w:eastAsia="仿宋_GB2312" w:hAnsi="仿宋_GB2312" w:cs="仿宋_GB2312"/>
                <w:sz w:val="15"/>
                <w:szCs w:val="15"/>
              </w:rPr>
            </w:pPr>
            <w:r>
              <w:rPr>
                <w:rFonts w:ascii="仿宋_GB2312" w:eastAsia="仿宋_GB2312" w:hAnsi="仿宋_GB2312" w:cs="仿宋_GB2312" w:hint="eastAsia"/>
                <w:sz w:val="15"/>
                <w:szCs w:val="15"/>
              </w:rPr>
              <w:t>▲7.2机箱尺寸：高度≤578MM，宽度≤200MM，长度≤590MM</w:t>
            </w:r>
          </w:p>
          <w:p w14:paraId="4711C4D2"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▲8.供货时间：3个工作日内到货</w:t>
            </w:r>
          </w:p>
          <w:p w14:paraId="730A07BB" w14:textId="77777777" w:rsidR="00D3217C" w:rsidRDefault="007524D1">
            <w:pPr>
              <w:jc w:val="left"/>
              <w:rPr>
                <w:rFonts w:ascii="仿宋_GB2312" w:eastAsia="仿宋_GB2312" w:hAnsi="仿宋_GB2312" w:cs="仿宋_GB2312"/>
                <w:b/>
                <w:bCs/>
                <w:sz w:val="15"/>
                <w:szCs w:val="15"/>
              </w:rPr>
            </w:pPr>
            <w:r>
              <w:rPr>
                <w:rFonts w:ascii="仿宋_GB2312" w:eastAsia="仿宋_GB2312" w:hAnsi="仿宋_GB2312" w:cs="仿宋_GB2312" w:hint="eastAsia"/>
                <w:b/>
                <w:bCs/>
                <w:sz w:val="15"/>
                <w:szCs w:val="15"/>
              </w:rPr>
              <w:t>▲9.提供第三</w:t>
            </w:r>
            <w:proofErr w:type="gramStart"/>
            <w:r>
              <w:rPr>
                <w:rFonts w:ascii="仿宋_GB2312" w:eastAsia="仿宋_GB2312" w:hAnsi="仿宋_GB2312" w:cs="仿宋_GB2312" w:hint="eastAsia"/>
                <w:b/>
                <w:bCs/>
                <w:sz w:val="15"/>
                <w:szCs w:val="15"/>
              </w:rPr>
              <w:t>方专业</w:t>
            </w:r>
            <w:proofErr w:type="gramEnd"/>
            <w:r>
              <w:rPr>
                <w:rFonts w:ascii="仿宋_GB2312" w:eastAsia="仿宋_GB2312" w:hAnsi="仿宋_GB2312" w:cs="仿宋_GB2312" w:hint="eastAsia"/>
                <w:b/>
                <w:bCs/>
                <w:sz w:val="15"/>
                <w:szCs w:val="15"/>
              </w:rPr>
              <w:t>检测报告验证最高分贝数≤50dB.</w:t>
            </w:r>
          </w:p>
        </w:tc>
        <w:tc>
          <w:tcPr>
            <w:tcW w:w="0" w:type="auto"/>
            <w:shd w:val="clear" w:color="auto" w:fill="auto"/>
            <w:vAlign w:val="center"/>
          </w:tcPr>
          <w:p w14:paraId="7BF864E0"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80000</w:t>
            </w:r>
          </w:p>
        </w:tc>
        <w:tc>
          <w:tcPr>
            <w:tcW w:w="0" w:type="auto"/>
            <w:shd w:val="clear" w:color="auto" w:fill="auto"/>
            <w:vAlign w:val="center"/>
          </w:tcPr>
          <w:p w14:paraId="0342D8C5"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1</w:t>
            </w:r>
          </w:p>
        </w:tc>
        <w:tc>
          <w:tcPr>
            <w:tcW w:w="0" w:type="auto"/>
            <w:shd w:val="clear" w:color="auto" w:fill="auto"/>
            <w:vAlign w:val="center"/>
          </w:tcPr>
          <w:p w14:paraId="3682A68E"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台</w:t>
            </w:r>
          </w:p>
        </w:tc>
        <w:tc>
          <w:tcPr>
            <w:tcW w:w="0" w:type="auto"/>
            <w:shd w:val="clear" w:color="auto" w:fill="auto"/>
            <w:vAlign w:val="center"/>
          </w:tcPr>
          <w:p w14:paraId="4D3C56C7"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80000</w:t>
            </w:r>
          </w:p>
        </w:tc>
      </w:tr>
      <w:tr w:rsidR="00F837FC" w14:paraId="2FE0607E" w14:textId="77777777">
        <w:trPr>
          <w:jc w:val="center"/>
        </w:trPr>
        <w:tc>
          <w:tcPr>
            <w:tcW w:w="0" w:type="auto"/>
            <w:vAlign w:val="center"/>
          </w:tcPr>
          <w:p w14:paraId="5D232B79" w14:textId="77777777" w:rsidR="00D3217C" w:rsidRDefault="00D3217C">
            <w:pPr>
              <w:snapToGrid w:val="0"/>
              <w:jc w:val="center"/>
              <w:rPr>
                <w:rFonts w:ascii="仿宋_GB2312" w:eastAsia="仿宋_GB2312" w:hAnsi="Times New Roman" w:cs="Times New Roman"/>
                <w:color w:val="C00000"/>
                <w:sz w:val="20"/>
                <w:szCs w:val="24"/>
              </w:rPr>
            </w:pPr>
          </w:p>
        </w:tc>
        <w:tc>
          <w:tcPr>
            <w:tcW w:w="0" w:type="auto"/>
            <w:shd w:val="clear" w:color="auto" w:fill="auto"/>
            <w:vAlign w:val="center"/>
          </w:tcPr>
          <w:p w14:paraId="7F3C6D70" w14:textId="1953003D" w:rsidR="00D3217C" w:rsidRDefault="00F837FC">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联泰集群（LTHPC</w:t>
            </w:r>
            <w:r>
              <w:rPr>
                <w:rFonts w:ascii="仿宋_GB2312" w:eastAsia="仿宋_GB2312" w:hAnsi="仿宋_GB2312" w:cs="仿宋_GB2312"/>
                <w:sz w:val="20"/>
                <w:szCs w:val="24"/>
              </w:rPr>
              <w:t>）</w:t>
            </w:r>
            <w:r w:rsidR="007524D1">
              <w:rPr>
                <w:rFonts w:ascii="仿宋_GB2312" w:eastAsia="仿宋_GB2312" w:hAnsi="仿宋_GB2312" w:cs="仿宋_GB2312" w:hint="eastAsia"/>
                <w:sz w:val="20"/>
                <w:szCs w:val="24"/>
              </w:rPr>
              <w:t>高性能塔式静音工作站</w:t>
            </w:r>
            <w:r>
              <w:rPr>
                <w:rFonts w:ascii="仿宋_GB2312" w:eastAsia="仿宋_GB2312" w:hAnsi="仿宋_GB2312" w:cs="仿宋_GB2312" w:hint="eastAsia"/>
                <w:sz w:val="20"/>
                <w:szCs w:val="24"/>
              </w:rPr>
              <w:t>W7234</w:t>
            </w:r>
            <w:r w:rsidR="00B25323">
              <w:rPr>
                <w:rFonts w:ascii="仿宋_GB2312" w:eastAsia="仿宋_GB2312" w:hAnsi="仿宋_GB2312" w:cs="仿宋_GB2312"/>
                <w:sz w:val="20"/>
                <w:szCs w:val="24"/>
              </w:rPr>
              <w:t xml:space="preserve"> </w:t>
            </w:r>
            <w:bookmarkStart w:id="0" w:name="_GoBack"/>
            <w:bookmarkEnd w:id="0"/>
            <w:r>
              <w:rPr>
                <w:rFonts w:ascii="仿宋_GB2312" w:eastAsia="仿宋_GB2312" w:hAnsi="仿宋_GB2312" w:cs="仿宋_GB2312" w:hint="eastAsia"/>
                <w:sz w:val="20"/>
                <w:szCs w:val="24"/>
              </w:rPr>
              <w:t>G3</w:t>
            </w:r>
          </w:p>
        </w:tc>
        <w:tc>
          <w:tcPr>
            <w:tcW w:w="0" w:type="auto"/>
            <w:shd w:val="clear" w:color="auto" w:fill="auto"/>
            <w:vAlign w:val="center"/>
          </w:tcPr>
          <w:p w14:paraId="1F70883C"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1处理器</w:t>
            </w:r>
          </w:p>
          <w:p w14:paraId="11B2959C"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1.1核心≥12 基础主频≥2.00Ghz,</w:t>
            </w:r>
            <w:proofErr w:type="gramStart"/>
            <w:r>
              <w:rPr>
                <w:rFonts w:ascii="仿宋_GB2312" w:eastAsia="仿宋_GB2312" w:hAnsi="仿宋_GB2312" w:cs="仿宋_GB2312" w:hint="eastAsia"/>
                <w:sz w:val="13"/>
                <w:szCs w:val="13"/>
              </w:rPr>
              <w:t>睿</w:t>
            </w:r>
            <w:proofErr w:type="gramEnd"/>
            <w:r>
              <w:rPr>
                <w:rFonts w:ascii="仿宋_GB2312" w:eastAsia="仿宋_GB2312" w:hAnsi="仿宋_GB2312" w:cs="仿宋_GB2312" w:hint="eastAsia"/>
                <w:sz w:val="13"/>
                <w:szCs w:val="13"/>
              </w:rPr>
              <w:t>频≥3.9Ghz，三级缓存≥30MB</w:t>
            </w:r>
          </w:p>
          <w:p w14:paraId="178CB701"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1.2处理器个数≥2</w:t>
            </w:r>
          </w:p>
          <w:p w14:paraId="6042A02F"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1.3散热方式：液冷散热</w:t>
            </w:r>
          </w:p>
          <w:p w14:paraId="4842516D"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2内存</w:t>
            </w:r>
          </w:p>
          <w:p w14:paraId="79E5F93A"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2.1 容量≥128GB DDR5-4800；</w:t>
            </w:r>
          </w:p>
          <w:p w14:paraId="524D59E3"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2.2 配置≥ 4 x 32GB RDIMM。</w:t>
            </w:r>
          </w:p>
          <w:p w14:paraId="51C87C34"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lastRenderedPageBreak/>
              <w:t>3 GPU</w:t>
            </w:r>
          </w:p>
          <w:p w14:paraId="4C39EB1E"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3.1 数量: ≥2卡；</w:t>
            </w:r>
          </w:p>
          <w:p w14:paraId="7EF44B3F"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3.2 CUDA核心≥21760，显存≥32G GDDR7，显存带宽≥1792GB/s，功率≥575W，PCI-E5.0接口；</w:t>
            </w:r>
          </w:p>
          <w:p w14:paraId="7E2ABA1C"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3.3 散热方式：液冷散热</w:t>
            </w:r>
          </w:p>
          <w:p w14:paraId="5058EDF9"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4 存储</w:t>
            </w:r>
          </w:p>
          <w:p w14:paraId="2BB78BC4"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4.1 系统盘≥1个1.92T 企业级 NVME U.2 Gen5 固态硬盘；</w:t>
            </w:r>
          </w:p>
          <w:p w14:paraId="672F2180"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5 电源</w:t>
            </w:r>
          </w:p>
          <w:p w14:paraId="75A1E20D"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5.1 ≥1*2000W电源</w:t>
            </w:r>
          </w:p>
          <w:p w14:paraId="3D0BBAE3"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6 主板插槽: ≥6个PCI-e 5.0插槽</w:t>
            </w:r>
          </w:p>
          <w:p w14:paraId="638BB350"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7 机箱规格：</w:t>
            </w:r>
          </w:p>
          <w:p w14:paraId="25150F74"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▲7.1 类型: 塔式机箱，≥</w:t>
            </w:r>
            <w:proofErr w:type="gramStart"/>
            <w:r>
              <w:rPr>
                <w:rFonts w:ascii="仿宋_GB2312" w:eastAsia="仿宋_GB2312" w:hAnsi="仿宋_GB2312" w:cs="仿宋_GB2312" w:hint="eastAsia"/>
                <w:sz w:val="13"/>
                <w:szCs w:val="13"/>
              </w:rPr>
              <w:t>12盘位热插拔</w:t>
            </w:r>
            <w:proofErr w:type="gramEnd"/>
            <w:r>
              <w:rPr>
                <w:rFonts w:ascii="仿宋_GB2312" w:eastAsia="仿宋_GB2312" w:hAnsi="仿宋_GB2312" w:cs="仿宋_GB2312" w:hint="eastAsia"/>
                <w:sz w:val="13"/>
                <w:szCs w:val="13"/>
              </w:rPr>
              <w:t xml:space="preserve">硬盘位； </w:t>
            </w:r>
          </w:p>
          <w:p w14:paraId="4274C8DB" w14:textId="77777777" w:rsidR="00D3217C" w:rsidRDefault="007524D1">
            <w:pPr>
              <w:jc w:val="left"/>
              <w:rPr>
                <w:rFonts w:ascii="仿宋_GB2312" w:eastAsia="仿宋_GB2312" w:hAnsi="仿宋_GB2312" w:cs="仿宋_GB2312"/>
                <w:sz w:val="13"/>
                <w:szCs w:val="13"/>
              </w:rPr>
            </w:pPr>
            <w:r>
              <w:rPr>
                <w:rFonts w:ascii="仿宋_GB2312" w:eastAsia="仿宋_GB2312" w:hAnsi="仿宋_GB2312" w:cs="仿宋_GB2312" w:hint="eastAsia"/>
                <w:sz w:val="13"/>
                <w:szCs w:val="13"/>
              </w:rPr>
              <w:t>▲7.2机箱尺寸：高度≤654MM，宽度≤230MM，长度≤679MM</w:t>
            </w:r>
          </w:p>
          <w:p w14:paraId="1369C00C" w14:textId="77777777" w:rsidR="00D3217C" w:rsidRDefault="007524D1">
            <w:pPr>
              <w:jc w:val="left"/>
              <w:rPr>
                <w:rFonts w:ascii="仿宋_GB2312" w:eastAsia="仿宋_GB2312" w:hAnsi="仿宋_GB2312" w:cs="仿宋_GB2312"/>
                <w:b/>
                <w:bCs/>
                <w:sz w:val="13"/>
                <w:szCs w:val="13"/>
              </w:rPr>
            </w:pPr>
            <w:r>
              <w:rPr>
                <w:rFonts w:ascii="仿宋_GB2312" w:eastAsia="仿宋_GB2312" w:hAnsi="仿宋_GB2312" w:cs="仿宋_GB2312" w:hint="eastAsia"/>
                <w:b/>
                <w:bCs/>
                <w:sz w:val="13"/>
                <w:szCs w:val="13"/>
              </w:rPr>
              <w:t>▲8.供货时间：3个工作日内到货</w:t>
            </w:r>
          </w:p>
          <w:p w14:paraId="1A701B6B" w14:textId="77777777" w:rsidR="00D3217C" w:rsidRDefault="007524D1">
            <w:pPr>
              <w:jc w:val="left"/>
              <w:rPr>
                <w:rFonts w:ascii="仿宋_GB2312" w:eastAsia="仿宋_GB2312" w:hAnsi="仿宋_GB2312" w:cs="仿宋_GB2312"/>
                <w:sz w:val="20"/>
                <w:szCs w:val="24"/>
              </w:rPr>
            </w:pPr>
            <w:r>
              <w:rPr>
                <w:rFonts w:ascii="仿宋_GB2312" w:eastAsia="仿宋_GB2312" w:hAnsi="仿宋_GB2312" w:cs="仿宋_GB2312" w:hint="eastAsia"/>
                <w:b/>
                <w:bCs/>
                <w:sz w:val="13"/>
                <w:szCs w:val="13"/>
              </w:rPr>
              <w:t>▲9.提供第三</w:t>
            </w:r>
            <w:proofErr w:type="gramStart"/>
            <w:r>
              <w:rPr>
                <w:rFonts w:ascii="仿宋_GB2312" w:eastAsia="仿宋_GB2312" w:hAnsi="仿宋_GB2312" w:cs="仿宋_GB2312" w:hint="eastAsia"/>
                <w:b/>
                <w:bCs/>
                <w:sz w:val="13"/>
                <w:szCs w:val="13"/>
              </w:rPr>
              <w:t>方专业</w:t>
            </w:r>
            <w:proofErr w:type="gramEnd"/>
            <w:r>
              <w:rPr>
                <w:rFonts w:ascii="仿宋_GB2312" w:eastAsia="仿宋_GB2312" w:hAnsi="仿宋_GB2312" w:cs="仿宋_GB2312" w:hint="eastAsia"/>
                <w:b/>
                <w:bCs/>
                <w:sz w:val="13"/>
                <w:szCs w:val="13"/>
              </w:rPr>
              <w:t>检测报告验证最高分贝数≤50dB.</w:t>
            </w:r>
          </w:p>
        </w:tc>
        <w:tc>
          <w:tcPr>
            <w:tcW w:w="0" w:type="auto"/>
            <w:shd w:val="clear" w:color="auto" w:fill="auto"/>
            <w:vAlign w:val="center"/>
          </w:tcPr>
          <w:p w14:paraId="418B6CA2"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lastRenderedPageBreak/>
              <w:t>130000</w:t>
            </w:r>
          </w:p>
        </w:tc>
        <w:tc>
          <w:tcPr>
            <w:tcW w:w="0" w:type="auto"/>
            <w:shd w:val="clear" w:color="auto" w:fill="auto"/>
            <w:vAlign w:val="center"/>
          </w:tcPr>
          <w:p w14:paraId="0E00FC66"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1</w:t>
            </w:r>
          </w:p>
        </w:tc>
        <w:tc>
          <w:tcPr>
            <w:tcW w:w="0" w:type="auto"/>
            <w:shd w:val="clear" w:color="auto" w:fill="auto"/>
            <w:vAlign w:val="center"/>
          </w:tcPr>
          <w:p w14:paraId="79739C45"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台</w:t>
            </w:r>
          </w:p>
        </w:tc>
        <w:tc>
          <w:tcPr>
            <w:tcW w:w="0" w:type="auto"/>
            <w:shd w:val="clear" w:color="auto" w:fill="auto"/>
            <w:vAlign w:val="center"/>
          </w:tcPr>
          <w:p w14:paraId="06396C51" w14:textId="77777777" w:rsidR="00D3217C" w:rsidRDefault="007524D1">
            <w:pPr>
              <w:snapToGrid w:val="0"/>
              <w:jc w:val="center"/>
              <w:rPr>
                <w:rFonts w:ascii="仿宋_GB2312" w:eastAsia="仿宋_GB2312" w:hAnsi="仿宋_GB2312" w:cs="仿宋_GB2312"/>
                <w:sz w:val="20"/>
                <w:szCs w:val="24"/>
              </w:rPr>
            </w:pPr>
            <w:r>
              <w:rPr>
                <w:rFonts w:ascii="仿宋_GB2312" w:eastAsia="仿宋_GB2312" w:hAnsi="仿宋_GB2312" w:cs="仿宋_GB2312" w:hint="eastAsia"/>
                <w:sz w:val="20"/>
                <w:szCs w:val="24"/>
              </w:rPr>
              <w:t>130000</w:t>
            </w:r>
          </w:p>
        </w:tc>
      </w:tr>
      <w:tr w:rsidR="00D3217C" w14:paraId="7023309B" w14:textId="77777777">
        <w:trPr>
          <w:jc w:val="center"/>
        </w:trPr>
        <w:tc>
          <w:tcPr>
            <w:tcW w:w="0" w:type="auto"/>
            <w:gridSpan w:val="6"/>
            <w:vAlign w:val="center"/>
          </w:tcPr>
          <w:p w14:paraId="0926406D" w14:textId="77777777" w:rsidR="00D3217C" w:rsidRDefault="007524D1">
            <w:pPr>
              <w:snapToGrid w:val="0"/>
              <w:jc w:val="center"/>
              <w:rPr>
                <w:rFonts w:ascii="仿宋_GB2312" w:eastAsia="仿宋_GB2312" w:hAnsi="Times New Roman" w:cs="Times New Roman"/>
                <w:b/>
                <w:sz w:val="20"/>
                <w:szCs w:val="24"/>
              </w:rPr>
            </w:pPr>
            <w:r>
              <w:rPr>
                <w:rFonts w:ascii="仿宋_GB2312" w:eastAsia="仿宋_GB2312" w:hAnsi="Times New Roman" w:cs="Times New Roman"/>
                <w:b/>
                <w:sz w:val="20"/>
                <w:szCs w:val="24"/>
              </w:rPr>
              <w:t>合计</w:t>
            </w:r>
          </w:p>
        </w:tc>
        <w:tc>
          <w:tcPr>
            <w:tcW w:w="0" w:type="auto"/>
            <w:vAlign w:val="center"/>
          </w:tcPr>
          <w:p w14:paraId="5E6706A7" w14:textId="77777777" w:rsidR="00D3217C" w:rsidRDefault="007524D1">
            <w:pPr>
              <w:snapToGrid w:val="0"/>
              <w:jc w:val="center"/>
              <w:rPr>
                <w:rFonts w:ascii="仿宋_GB2312" w:eastAsia="仿宋_GB2312" w:hAnsi="Times New Roman" w:cs="Times New Roman"/>
                <w:b/>
                <w:sz w:val="20"/>
                <w:szCs w:val="24"/>
              </w:rPr>
            </w:pPr>
            <w:r>
              <w:rPr>
                <w:rFonts w:ascii="仿宋_GB2312" w:eastAsia="仿宋_GB2312" w:hAnsi="Times New Roman" w:cs="Times New Roman" w:hint="eastAsia"/>
                <w:b/>
                <w:sz w:val="20"/>
                <w:szCs w:val="24"/>
              </w:rPr>
              <w:t>210000</w:t>
            </w:r>
          </w:p>
        </w:tc>
      </w:tr>
    </w:tbl>
    <w:p w14:paraId="08BC46EE" w14:textId="77777777" w:rsidR="00D3217C" w:rsidRDefault="00D3217C">
      <w:pPr>
        <w:rPr>
          <w:rFonts w:ascii="仿宋" w:eastAsia="仿宋" w:hAnsi="仿宋"/>
          <w:sz w:val="28"/>
          <w:szCs w:val="28"/>
        </w:rPr>
      </w:pPr>
    </w:p>
    <w:p w14:paraId="071CBF6E" w14:textId="77777777" w:rsidR="00D3217C" w:rsidRDefault="00D3217C">
      <w:pPr>
        <w:widowControl/>
        <w:jc w:val="lef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283"/>
        <w:gridCol w:w="6560"/>
      </w:tblGrid>
      <w:tr w:rsidR="00D3217C" w14:paraId="0CCEEE80" w14:textId="77777777">
        <w:trPr>
          <w:trHeight w:val="454"/>
          <w:jc w:val="center"/>
        </w:trPr>
        <w:tc>
          <w:tcPr>
            <w:tcW w:w="273" w:type="pct"/>
            <w:vAlign w:val="center"/>
          </w:tcPr>
          <w:p w14:paraId="17183456"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
                <w:szCs w:val="21"/>
              </w:rPr>
              <w:t>序号</w:t>
            </w:r>
          </w:p>
        </w:tc>
        <w:tc>
          <w:tcPr>
            <w:tcW w:w="4726" w:type="pct"/>
            <w:gridSpan w:val="2"/>
            <w:vAlign w:val="center"/>
          </w:tcPr>
          <w:p w14:paraId="169C7F5E" w14:textId="77777777" w:rsidR="00D3217C" w:rsidRDefault="007524D1">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D3217C" w14:paraId="193ECDC5" w14:textId="77777777">
        <w:trPr>
          <w:trHeight w:val="454"/>
          <w:jc w:val="center"/>
        </w:trPr>
        <w:tc>
          <w:tcPr>
            <w:tcW w:w="5000" w:type="pct"/>
            <w:gridSpan w:val="3"/>
            <w:vAlign w:val="center"/>
          </w:tcPr>
          <w:p w14:paraId="79A0648F"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
                <w:szCs w:val="21"/>
              </w:rPr>
              <w:t>（一）免费保修期内售后服务要求</w:t>
            </w:r>
          </w:p>
        </w:tc>
      </w:tr>
      <w:tr w:rsidR="00D3217C" w14:paraId="4FC5E301" w14:textId="77777777">
        <w:trPr>
          <w:trHeight w:val="454"/>
          <w:jc w:val="center"/>
        </w:trPr>
        <w:tc>
          <w:tcPr>
            <w:tcW w:w="273" w:type="pct"/>
            <w:vAlign w:val="center"/>
          </w:tcPr>
          <w:p w14:paraId="1968AFF2"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1</w:t>
            </w:r>
          </w:p>
        </w:tc>
        <w:tc>
          <w:tcPr>
            <w:tcW w:w="773" w:type="pct"/>
            <w:vAlign w:val="center"/>
          </w:tcPr>
          <w:p w14:paraId="29538BCF"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货物要求</w:t>
            </w:r>
          </w:p>
        </w:tc>
        <w:tc>
          <w:tcPr>
            <w:tcW w:w="3952" w:type="pct"/>
            <w:vAlign w:val="center"/>
          </w:tcPr>
          <w:p w14:paraId="1F0385AF" w14:textId="77F14EC6" w:rsidR="00D3217C" w:rsidRDefault="007524D1">
            <w:pPr>
              <w:widowControl/>
              <w:spacing w:line="360" w:lineRule="auto"/>
              <w:jc w:val="left"/>
              <w:rPr>
                <w:rFonts w:ascii="宋体" w:eastAsia="宋体" w:hAnsi="宋体" w:cs="宋体"/>
                <w:b/>
                <w:szCs w:val="21"/>
              </w:rPr>
            </w:pPr>
            <w:r>
              <w:rPr>
                <w:rFonts w:ascii="宋体" w:eastAsia="宋体" w:hAnsi="宋体" w:cs="宋体"/>
                <w:b/>
                <w:szCs w:val="21"/>
              </w:rPr>
              <w:t>1、</w:t>
            </w:r>
            <w:r>
              <w:rPr>
                <w:rFonts w:ascii="宋体" w:eastAsia="宋体" w:hAnsi="宋体" w:cs="Helvetica"/>
                <w:b/>
                <w:color w:val="333333"/>
                <w:szCs w:val="21"/>
                <w:shd w:val="clear" w:color="auto" w:fill="FFFFFF"/>
              </w:rPr>
              <w:t>送货上门、需安排专人送达并当场验收</w:t>
            </w:r>
            <w:r>
              <w:rPr>
                <w:rFonts w:ascii="宋体" w:eastAsia="宋体" w:hAnsi="宋体" w:cs="Helvetica" w:hint="eastAsia"/>
                <w:b/>
                <w:color w:val="333333"/>
                <w:szCs w:val="21"/>
                <w:shd w:val="clear" w:color="auto" w:fill="FFFFFF"/>
              </w:rPr>
              <w:t>。</w:t>
            </w:r>
          </w:p>
          <w:p w14:paraId="05275700" w14:textId="77777777" w:rsidR="00D3217C" w:rsidRDefault="007524D1">
            <w:pPr>
              <w:widowControl/>
              <w:spacing w:line="360" w:lineRule="auto"/>
              <w:jc w:val="left"/>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77777777" w:rsidR="00D3217C" w:rsidRDefault="007524D1">
            <w:pPr>
              <w:widowControl/>
              <w:spacing w:line="360" w:lineRule="auto"/>
              <w:jc w:val="left"/>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D3217C" w:rsidRDefault="007524D1">
            <w:pPr>
              <w:widowControl/>
              <w:spacing w:line="360" w:lineRule="auto"/>
              <w:jc w:val="left"/>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3121272A" w14:textId="77777777" w:rsidR="00D3217C" w:rsidRDefault="007524D1">
            <w:pPr>
              <w:widowControl/>
              <w:spacing w:line="360" w:lineRule="auto"/>
              <w:jc w:val="left"/>
              <w:rPr>
                <w:rFonts w:ascii="宋体" w:eastAsia="宋体" w:hAnsi="宋体" w:cs="宋体"/>
                <w:szCs w:val="21"/>
              </w:rPr>
            </w:pPr>
            <w:r>
              <w:rPr>
                <w:rFonts w:ascii="宋体" w:eastAsia="宋体" w:hAnsi="宋体" w:cs="宋体"/>
                <w:szCs w:val="21"/>
              </w:rPr>
              <w:lastRenderedPageBreak/>
              <w:t>5</w:t>
            </w:r>
            <w:r>
              <w:rPr>
                <w:rFonts w:ascii="宋体" w:eastAsia="宋体" w:hAnsi="宋体" w:cs="宋体" w:hint="eastAsia"/>
                <w:szCs w:val="21"/>
              </w:rPr>
              <w:t>、供应商应将所提供货物的使用说明书、原厂保修卡等附随资料和附随配件、工具等交付给采购方；</w:t>
            </w:r>
          </w:p>
          <w:p w14:paraId="51414376" w14:textId="77777777" w:rsidR="00D3217C" w:rsidRDefault="007524D1">
            <w:pPr>
              <w:widowControl/>
              <w:spacing w:line="360" w:lineRule="auto"/>
              <w:jc w:val="left"/>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提供产品或者是附件为不合格产品将进行退货处理并将向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r>
              <w:rPr>
                <w:rFonts w:ascii="宋体" w:eastAsia="宋体" w:hAnsi="宋体" w:cs="Helvetica"/>
                <w:b/>
                <w:color w:val="333333"/>
                <w:szCs w:val="21"/>
                <w:shd w:val="clear" w:color="auto" w:fill="FFFFFF"/>
              </w:rPr>
              <w:br/>
            </w:r>
            <w:r>
              <w:rPr>
                <w:rFonts w:ascii="宋体" w:eastAsia="宋体" w:hAnsi="宋体" w:cs="Helvetica" w:hint="eastAsia"/>
                <w:b/>
                <w:color w:val="333333"/>
                <w:szCs w:val="21"/>
                <w:shd w:val="clear" w:color="auto" w:fill="FFFFFF"/>
              </w:rPr>
              <w:t>7、 24小时内响应技术和售后服务，并提供整机和配件三年保修三年上门，交货时提供与投标产品品牌一致的计算机软件著作权等级证书。如无，用户有权拒绝验收.</w:t>
            </w:r>
          </w:p>
        </w:tc>
      </w:tr>
      <w:tr w:rsidR="00D3217C" w14:paraId="4AA9A8A6" w14:textId="77777777">
        <w:trPr>
          <w:trHeight w:val="454"/>
          <w:jc w:val="center"/>
        </w:trPr>
        <w:tc>
          <w:tcPr>
            <w:tcW w:w="273" w:type="pct"/>
            <w:vAlign w:val="center"/>
          </w:tcPr>
          <w:p w14:paraId="75A26EBC"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bCs/>
                <w:szCs w:val="21"/>
              </w:rPr>
              <w:lastRenderedPageBreak/>
              <w:t>2</w:t>
            </w:r>
          </w:p>
        </w:tc>
        <w:tc>
          <w:tcPr>
            <w:tcW w:w="773" w:type="pct"/>
            <w:vAlign w:val="center"/>
          </w:tcPr>
          <w:p w14:paraId="737F062C"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szCs w:val="21"/>
              </w:rPr>
              <w:t>维修响应及故障解决时间</w:t>
            </w:r>
          </w:p>
        </w:tc>
        <w:tc>
          <w:tcPr>
            <w:tcW w:w="3952" w:type="pct"/>
            <w:vAlign w:val="center"/>
          </w:tcPr>
          <w:p w14:paraId="6B1CCB21"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Cs/>
                <w:szCs w:val="21"/>
              </w:rPr>
              <w:t>保修期内如果有因高性能笔记本电脑硬件问题而引起的故障，中标人应提供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当日下午4点前报修，</w:t>
            </w:r>
            <w:r>
              <w:rPr>
                <w:rFonts w:ascii="宋体" w:eastAsia="宋体" w:hAnsi="宋体" w:cs="宋体" w:hint="eastAsia"/>
                <w:b/>
                <w:bCs/>
                <w:szCs w:val="21"/>
              </w:rPr>
              <w:t>3个工作日内</w:t>
            </w:r>
            <w:r>
              <w:rPr>
                <w:rFonts w:ascii="宋体" w:eastAsia="宋体" w:hAnsi="宋体" w:cs="宋体"/>
                <w:b/>
                <w:bCs/>
                <w:szCs w:val="21"/>
              </w:rPr>
              <w:t>修复，若没有完成修复，则免费赠送延迟日数对应的</w:t>
            </w:r>
            <w:proofErr w:type="gramStart"/>
            <w:r>
              <w:rPr>
                <w:rFonts w:ascii="宋体" w:eastAsia="宋体" w:hAnsi="宋体" w:cs="宋体"/>
                <w:b/>
                <w:bCs/>
                <w:szCs w:val="21"/>
              </w:rPr>
              <w:t>月度延保服务</w:t>
            </w:r>
            <w:proofErr w:type="gramEnd"/>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D3217C" w14:paraId="417516D7" w14:textId="77777777">
        <w:trPr>
          <w:trHeight w:val="535"/>
          <w:jc w:val="center"/>
        </w:trPr>
        <w:tc>
          <w:tcPr>
            <w:tcW w:w="273" w:type="pct"/>
            <w:vAlign w:val="center"/>
          </w:tcPr>
          <w:p w14:paraId="69B7C54A"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bCs/>
                <w:szCs w:val="21"/>
              </w:rPr>
              <w:t>3</w:t>
            </w:r>
          </w:p>
        </w:tc>
        <w:tc>
          <w:tcPr>
            <w:tcW w:w="773" w:type="pct"/>
            <w:vAlign w:val="center"/>
          </w:tcPr>
          <w:p w14:paraId="4A1891AE"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szCs w:val="21"/>
              </w:rPr>
              <w:t>免费保修期</w:t>
            </w:r>
          </w:p>
        </w:tc>
        <w:tc>
          <w:tcPr>
            <w:tcW w:w="3952" w:type="pct"/>
            <w:vAlign w:val="center"/>
          </w:tcPr>
          <w:p w14:paraId="4DDCFCB4"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.1货物免费保修期</w:t>
            </w:r>
            <w:r>
              <w:rPr>
                <w:rFonts w:ascii="宋体" w:eastAsia="宋体" w:hAnsi="宋体" w:cs="宋体" w:hint="eastAsia"/>
                <w:bCs/>
                <w:szCs w:val="21"/>
                <w:u w:val="single"/>
              </w:rPr>
              <w:t xml:space="preserve"> </w:t>
            </w:r>
            <w:r>
              <w:rPr>
                <w:rFonts w:ascii="宋体" w:eastAsia="宋体" w:hAnsi="宋体" w:cs="宋体"/>
                <w:bCs/>
                <w:szCs w:val="21"/>
                <w:u w:val="single"/>
              </w:rPr>
              <w:t>3</w:t>
            </w:r>
            <w:r>
              <w:rPr>
                <w:rFonts w:ascii="宋体" w:eastAsia="宋体" w:hAnsi="宋体" w:cs="宋体" w:hint="eastAsia"/>
                <w:bCs/>
                <w:szCs w:val="21"/>
                <w:u w:val="single"/>
              </w:rPr>
              <w:t xml:space="preserve"> </w:t>
            </w:r>
            <w:r>
              <w:rPr>
                <w:rFonts w:ascii="宋体" w:eastAsia="宋体" w:hAnsi="宋体" w:cs="宋体" w:hint="eastAsia"/>
                <w:bCs/>
                <w:szCs w:val="21"/>
              </w:rPr>
              <w:t>年上门服务</w:t>
            </w:r>
            <w:r>
              <w:rPr>
                <w:rFonts w:ascii="Helvetica" w:hAnsi="Helvetica" w:cs="Helvetica"/>
                <w:color w:val="333333"/>
                <w:szCs w:val="21"/>
                <w:shd w:val="clear" w:color="auto" w:fill="FFFFFF"/>
              </w:rPr>
              <w:t>，</w:t>
            </w:r>
            <w:r>
              <w:rPr>
                <w:rFonts w:ascii="宋体" w:eastAsia="宋体" w:hAnsi="宋体" w:cs="宋体" w:hint="eastAsia"/>
                <w:bCs/>
                <w:szCs w:val="21"/>
              </w:rPr>
              <w:t>时间</w:t>
            </w:r>
            <w:proofErr w:type="gramStart"/>
            <w:r>
              <w:rPr>
                <w:rFonts w:ascii="宋体" w:eastAsia="宋体" w:hAnsi="宋体" w:cs="宋体" w:hint="eastAsia"/>
                <w:bCs/>
                <w:szCs w:val="21"/>
              </w:rPr>
              <w:t>自最终</w:t>
            </w:r>
            <w:proofErr w:type="gramEnd"/>
            <w:r>
              <w:rPr>
                <w:rFonts w:ascii="宋体" w:eastAsia="宋体" w:hAnsi="宋体" w:cs="宋体" w:hint="eastAsia"/>
                <w:bCs/>
                <w:szCs w:val="21"/>
              </w:rPr>
              <w:t>验收合格并交付使用之日起计算。</w:t>
            </w:r>
          </w:p>
          <w:p w14:paraId="2B99AC56"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D3217C" w14:paraId="66642919" w14:textId="77777777">
        <w:trPr>
          <w:trHeight w:val="454"/>
          <w:jc w:val="center"/>
        </w:trPr>
        <w:tc>
          <w:tcPr>
            <w:tcW w:w="273" w:type="pct"/>
            <w:vAlign w:val="center"/>
          </w:tcPr>
          <w:p w14:paraId="6F85C933"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bCs/>
                <w:szCs w:val="21"/>
              </w:rPr>
              <w:t>4</w:t>
            </w:r>
          </w:p>
        </w:tc>
        <w:tc>
          <w:tcPr>
            <w:tcW w:w="773" w:type="pct"/>
            <w:vAlign w:val="center"/>
          </w:tcPr>
          <w:p w14:paraId="7A84A4B5"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szCs w:val="21"/>
              </w:rPr>
              <w:t>技术文件</w:t>
            </w:r>
          </w:p>
        </w:tc>
        <w:tc>
          <w:tcPr>
            <w:tcW w:w="3952" w:type="pct"/>
            <w:vAlign w:val="center"/>
          </w:tcPr>
          <w:p w14:paraId="4DAFA545"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Cs/>
                <w:szCs w:val="21"/>
              </w:rPr>
              <w:t>供应商应提供全套、完整的书面技术资料，包括仪器说明书、操作手册、简单维修说明、图纸等。</w:t>
            </w:r>
          </w:p>
        </w:tc>
      </w:tr>
      <w:tr w:rsidR="00D3217C" w14:paraId="55FB2988" w14:textId="77777777">
        <w:trPr>
          <w:trHeight w:val="454"/>
          <w:jc w:val="center"/>
        </w:trPr>
        <w:tc>
          <w:tcPr>
            <w:tcW w:w="5000" w:type="pct"/>
            <w:gridSpan w:val="3"/>
            <w:vAlign w:val="center"/>
          </w:tcPr>
          <w:p w14:paraId="2B89868A"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
                <w:szCs w:val="21"/>
              </w:rPr>
              <w:t>（二）免费保修期外售后服务要求</w:t>
            </w:r>
          </w:p>
        </w:tc>
      </w:tr>
      <w:tr w:rsidR="00D3217C" w14:paraId="2C76E6E2" w14:textId="77777777">
        <w:trPr>
          <w:trHeight w:val="711"/>
          <w:jc w:val="center"/>
        </w:trPr>
        <w:tc>
          <w:tcPr>
            <w:tcW w:w="273" w:type="pct"/>
            <w:vAlign w:val="center"/>
          </w:tcPr>
          <w:p w14:paraId="1F753899"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1</w:t>
            </w:r>
          </w:p>
        </w:tc>
        <w:tc>
          <w:tcPr>
            <w:tcW w:w="773" w:type="pct"/>
            <w:vAlign w:val="center"/>
          </w:tcPr>
          <w:p w14:paraId="6F091886"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维修零配件、消耗品和延续保修合同的报价</w:t>
            </w:r>
          </w:p>
        </w:tc>
        <w:tc>
          <w:tcPr>
            <w:tcW w:w="3952" w:type="pct"/>
            <w:vAlign w:val="center"/>
          </w:tcPr>
          <w:p w14:paraId="4AFECFCE"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szCs w:val="21"/>
                <w:u w:val="single"/>
              </w:rPr>
              <w:t xml:space="preserve"> 12</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szCs w:val="21"/>
                <w:u w:val="single"/>
              </w:rPr>
              <w:t xml:space="preserve"> 72 </w:t>
            </w:r>
            <w:r>
              <w:rPr>
                <w:rFonts w:ascii="宋体" w:eastAsia="宋体" w:hAnsi="宋体" w:cs="宋体" w:hint="eastAsia"/>
                <w:szCs w:val="21"/>
              </w:rPr>
              <w:t>小时维修到位，并在</w:t>
            </w:r>
            <w:r>
              <w:rPr>
                <w:rFonts w:ascii="宋体" w:eastAsia="宋体" w:hAnsi="宋体" w:cs="宋体"/>
                <w:szCs w:val="21"/>
              </w:rPr>
              <w:t>96</w:t>
            </w:r>
            <w:r>
              <w:rPr>
                <w:rFonts w:ascii="宋体" w:eastAsia="宋体" w:hAnsi="宋体" w:cs="宋体" w:hint="eastAsia"/>
                <w:szCs w:val="21"/>
              </w:rPr>
              <w:t>小时内消除故障（不可抗力情况除外）。消耗品和零配件供应及时，特殊情况下可提供备用机。</w:t>
            </w:r>
          </w:p>
        </w:tc>
      </w:tr>
      <w:tr w:rsidR="00D3217C" w14:paraId="22277A53" w14:textId="77777777">
        <w:trPr>
          <w:trHeight w:val="355"/>
          <w:jc w:val="center"/>
        </w:trPr>
        <w:tc>
          <w:tcPr>
            <w:tcW w:w="273" w:type="pct"/>
            <w:vAlign w:val="center"/>
          </w:tcPr>
          <w:p w14:paraId="688425CB"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lastRenderedPageBreak/>
              <w:t>2</w:t>
            </w:r>
          </w:p>
        </w:tc>
        <w:tc>
          <w:tcPr>
            <w:tcW w:w="773" w:type="pct"/>
            <w:vAlign w:val="center"/>
          </w:tcPr>
          <w:p w14:paraId="30AAD7B4"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维保期外的维修</w:t>
            </w:r>
          </w:p>
        </w:tc>
        <w:tc>
          <w:tcPr>
            <w:tcW w:w="3952" w:type="pct"/>
            <w:vAlign w:val="center"/>
          </w:tcPr>
          <w:p w14:paraId="2521F101"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保修期满后，成交人必须继续支持维修。</w:t>
            </w:r>
          </w:p>
        </w:tc>
      </w:tr>
      <w:tr w:rsidR="00D3217C" w14:paraId="2A9D9242" w14:textId="77777777">
        <w:trPr>
          <w:trHeight w:val="454"/>
          <w:jc w:val="center"/>
        </w:trPr>
        <w:tc>
          <w:tcPr>
            <w:tcW w:w="5000" w:type="pct"/>
            <w:gridSpan w:val="3"/>
            <w:vAlign w:val="center"/>
          </w:tcPr>
          <w:p w14:paraId="5F8C7627"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
                <w:szCs w:val="21"/>
              </w:rPr>
              <w:t>（三）其他商务要求</w:t>
            </w:r>
          </w:p>
        </w:tc>
      </w:tr>
      <w:tr w:rsidR="00D3217C" w14:paraId="4803CB45" w14:textId="77777777">
        <w:trPr>
          <w:trHeight w:val="454"/>
          <w:jc w:val="center"/>
        </w:trPr>
        <w:tc>
          <w:tcPr>
            <w:tcW w:w="273" w:type="pct"/>
            <w:vMerge w:val="restart"/>
            <w:vAlign w:val="center"/>
          </w:tcPr>
          <w:p w14:paraId="7A00AA84"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1</w:t>
            </w:r>
          </w:p>
        </w:tc>
        <w:tc>
          <w:tcPr>
            <w:tcW w:w="773" w:type="pct"/>
            <w:vMerge w:val="restart"/>
            <w:vAlign w:val="center"/>
          </w:tcPr>
          <w:p w14:paraId="069A812B"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必备条款</w:t>
            </w:r>
          </w:p>
        </w:tc>
        <w:tc>
          <w:tcPr>
            <w:tcW w:w="3952" w:type="pct"/>
            <w:vAlign w:val="center"/>
          </w:tcPr>
          <w:p w14:paraId="705A01CB"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1.1履约时间和地点：供应商在签订合同之日起</w:t>
            </w:r>
            <w:r>
              <w:rPr>
                <w:rFonts w:ascii="宋体" w:eastAsia="宋体" w:hAnsi="宋体" w:cs="宋体" w:hint="eastAsia"/>
                <w:b/>
                <w:szCs w:val="21"/>
              </w:rPr>
              <w:t>3个工作日</w:t>
            </w:r>
            <w:r>
              <w:rPr>
                <w:rFonts w:ascii="宋体" w:eastAsia="宋体" w:hAnsi="宋体" w:cs="宋体" w:hint="eastAsia"/>
                <w:szCs w:val="21"/>
              </w:rPr>
              <w:t>内交货，交货地点为采购方指定位置。</w:t>
            </w:r>
          </w:p>
        </w:tc>
      </w:tr>
      <w:tr w:rsidR="00D3217C" w14:paraId="2537D6EE" w14:textId="77777777">
        <w:trPr>
          <w:trHeight w:val="454"/>
          <w:jc w:val="center"/>
        </w:trPr>
        <w:tc>
          <w:tcPr>
            <w:tcW w:w="273" w:type="pct"/>
            <w:vMerge/>
            <w:vAlign w:val="center"/>
          </w:tcPr>
          <w:p w14:paraId="549A0017" w14:textId="77777777" w:rsidR="00D3217C" w:rsidRDefault="00D3217C">
            <w:pPr>
              <w:widowControl/>
              <w:spacing w:line="360" w:lineRule="auto"/>
              <w:jc w:val="left"/>
              <w:rPr>
                <w:rFonts w:ascii="宋体" w:eastAsia="宋体" w:hAnsi="宋体" w:cs="宋体"/>
                <w:b/>
                <w:szCs w:val="21"/>
              </w:rPr>
            </w:pPr>
          </w:p>
        </w:tc>
        <w:tc>
          <w:tcPr>
            <w:tcW w:w="773" w:type="pct"/>
            <w:vMerge/>
            <w:vAlign w:val="center"/>
          </w:tcPr>
          <w:p w14:paraId="33024D05" w14:textId="77777777" w:rsidR="00D3217C" w:rsidRDefault="00D3217C">
            <w:pPr>
              <w:widowControl/>
              <w:spacing w:line="360" w:lineRule="auto"/>
              <w:jc w:val="left"/>
              <w:rPr>
                <w:rFonts w:ascii="宋体" w:eastAsia="宋体" w:hAnsi="宋体" w:cs="宋体"/>
                <w:b/>
                <w:szCs w:val="21"/>
              </w:rPr>
            </w:pPr>
          </w:p>
        </w:tc>
        <w:tc>
          <w:tcPr>
            <w:tcW w:w="3952" w:type="pct"/>
            <w:vAlign w:val="center"/>
          </w:tcPr>
          <w:p w14:paraId="7A518A69"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1.2付款期限和方式：供应商完成供货后，经采购人验收合格后，中标供应商发起支付申请并在提供相应金额有效发票后十个工作日内，采购人确认后向成交供应商支付100%货款。</w:t>
            </w:r>
          </w:p>
        </w:tc>
      </w:tr>
      <w:tr w:rsidR="00D3217C" w14:paraId="49FDAB11" w14:textId="77777777">
        <w:trPr>
          <w:trHeight w:val="454"/>
          <w:jc w:val="center"/>
        </w:trPr>
        <w:tc>
          <w:tcPr>
            <w:tcW w:w="273" w:type="pct"/>
            <w:vMerge/>
            <w:vAlign w:val="center"/>
          </w:tcPr>
          <w:p w14:paraId="6A3D3ACE" w14:textId="77777777" w:rsidR="00D3217C" w:rsidRDefault="00D3217C">
            <w:pPr>
              <w:widowControl/>
              <w:spacing w:line="360" w:lineRule="auto"/>
              <w:jc w:val="left"/>
              <w:rPr>
                <w:rFonts w:ascii="宋体" w:eastAsia="宋体" w:hAnsi="宋体" w:cs="宋体"/>
                <w:b/>
                <w:szCs w:val="21"/>
              </w:rPr>
            </w:pPr>
          </w:p>
        </w:tc>
        <w:tc>
          <w:tcPr>
            <w:tcW w:w="773" w:type="pct"/>
            <w:vMerge/>
            <w:vAlign w:val="center"/>
          </w:tcPr>
          <w:p w14:paraId="4A05E294" w14:textId="77777777" w:rsidR="00D3217C" w:rsidRDefault="00D3217C">
            <w:pPr>
              <w:widowControl/>
              <w:spacing w:line="360" w:lineRule="auto"/>
              <w:jc w:val="left"/>
              <w:rPr>
                <w:rFonts w:ascii="宋体" w:eastAsia="宋体" w:hAnsi="宋体" w:cs="宋体"/>
                <w:szCs w:val="21"/>
              </w:rPr>
            </w:pPr>
          </w:p>
        </w:tc>
        <w:tc>
          <w:tcPr>
            <w:tcW w:w="3952" w:type="pct"/>
            <w:vAlign w:val="center"/>
          </w:tcPr>
          <w:p w14:paraId="5ED21743"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1.3验收条件：</w:t>
            </w:r>
          </w:p>
          <w:p w14:paraId="3CD35AD4"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135049AA"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0A26BFA6"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0B930253" w14:textId="77777777" w:rsidR="00D3217C" w:rsidRDefault="007524D1">
            <w:pPr>
              <w:widowControl/>
              <w:spacing w:line="360" w:lineRule="auto"/>
              <w:jc w:val="left"/>
              <w:rPr>
                <w:rFonts w:ascii="宋体" w:eastAsia="宋体" w:hAnsi="宋体" w:cs="宋体"/>
                <w:bCs/>
                <w:szCs w:val="21"/>
              </w:rPr>
            </w:pPr>
            <w:r>
              <w:rPr>
                <w:rFonts w:ascii="宋体" w:eastAsia="宋体" w:hAnsi="宋体" w:cs="宋体" w:hint="eastAsia"/>
                <w:bCs/>
                <w:szCs w:val="21"/>
              </w:rPr>
              <w:t>c、货物具备产品合格证。</w:t>
            </w:r>
          </w:p>
          <w:p w14:paraId="21CCD46A"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e、投标人货物经过双方检验认可后，签署验收报告，产品保修期自验收合格之日起算，</w:t>
            </w:r>
            <w:proofErr w:type="gramStart"/>
            <w:r>
              <w:rPr>
                <w:rFonts w:ascii="宋体" w:eastAsia="宋体" w:hAnsi="宋体" w:cs="宋体" w:hint="eastAsia"/>
                <w:szCs w:val="21"/>
              </w:rPr>
              <w:t>由成交人</w:t>
            </w:r>
            <w:proofErr w:type="gramEnd"/>
            <w:r>
              <w:rPr>
                <w:rFonts w:ascii="宋体" w:eastAsia="宋体" w:hAnsi="宋体" w:cs="宋体" w:hint="eastAsia"/>
                <w:szCs w:val="21"/>
              </w:rPr>
              <w:t>提供产品保修文件。</w:t>
            </w:r>
          </w:p>
        </w:tc>
      </w:tr>
      <w:tr w:rsidR="00D3217C" w14:paraId="56133990" w14:textId="77777777">
        <w:trPr>
          <w:trHeight w:val="454"/>
          <w:jc w:val="center"/>
        </w:trPr>
        <w:tc>
          <w:tcPr>
            <w:tcW w:w="273" w:type="pct"/>
            <w:vMerge/>
            <w:vAlign w:val="center"/>
          </w:tcPr>
          <w:p w14:paraId="23988CBC" w14:textId="77777777" w:rsidR="00D3217C" w:rsidRDefault="00D3217C">
            <w:pPr>
              <w:widowControl/>
              <w:spacing w:line="360" w:lineRule="auto"/>
              <w:jc w:val="left"/>
              <w:rPr>
                <w:rFonts w:ascii="宋体" w:eastAsia="宋体" w:hAnsi="宋体" w:cs="宋体"/>
                <w:b/>
                <w:szCs w:val="21"/>
              </w:rPr>
            </w:pPr>
          </w:p>
        </w:tc>
        <w:tc>
          <w:tcPr>
            <w:tcW w:w="773" w:type="pct"/>
            <w:vMerge/>
            <w:vAlign w:val="center"/>
          </w:tcPr>
          <w:p w14:paraId="2E5BCECE" w14:textId="77777777" w:rsidR="00D3217C" w:rsidRDefault="00D3217C">
            <w:pPr>
              <w:widowControl/>
              <w:spacing w:line="360" w:lineRule="auto"/>
              <w:jc w:val="left"/>
              <w:rPr>
                <w:rFonts w:ascii="宋体" w:eastAsia="宋体" w:hAnsi="宋体" w:cs="宋体"/>
                <w:szCs w:val="21"/>
              </w:rPr>
            </w:pPr>
          </w:p>
        </w:tc>
        <w:tc>
          <w:tcPr>
            <w:tcW w:w="3952" w:type="pct"/>
            <w:vAlign w:val="center"/>
          </w:tcPr>
          <w:p w14:paraId="13198BC1"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D3217C" w14:paraId="23A2F665" w14:textId="77777777">
        <w:trPr>
          <w:trHeight w:val="675"/>
          <w:jc w:val="center"/>
        </w:trPr>
        <w:tc>
          <w:tcPr>
            <w:tcW w:w="273" w:type="pct"/>
            <w:vAlign w:val="center"/>
          </w:tcPr>
          <w:p w14:paraId="41B2ACEC"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b/>
                <w:szCs w:val="21"/>
              </w:rPr>
              <w:t>3</w:t>
            </w:r>
          </w:p>
        </w:tc>
        <w:tc>
          <w:tcPr>
            <w:tcW w:w="773" w:type="pct"/>
            <w:vAlign w:val="center"/>
          </w:tcPr>
          <w:p w14:paraId="0E1B7A9C" w14:textId="77777777" w:rsidR="00D3217C" w:rsidRDefault="007524D1">
            <w:pPr>
              <w:widowControl/>
              <w:spacing w:line="360" w:lineRule="auto"/>
              <w:jc w:val="left"/>
              <w:rPr>
                <w:rFonts w:ascii="宋体" w:eastAsia="宋体" w:hAnsi="宋体" w:cs="宋体"/>
                <w:b/>
                <w:szCs w:val="21"/>
              </w:rPr>
            </w:pPr>
            <w:r>
              <w:rPr>
                <w:rFonts w:ascii="宋体" w:eastAsia="宋体" w:hAnsi="宋体" w:cs="宋体" w:hint="eastAsia"/>
                <w:b/>
                <w:szCs w:val="21"/>
              </w:rPr>
              <w:t>关于报价</w:t>
            </w:r>
          </w:p>
        </w:tc>
        <w:tc>
          <w:tcPr>
            <w:tcW w:w="3952" w:type="pct"/>
            <w:vAlign w:val="center"/>
          </w:tcPr>
          <w:p w14:paraId="61D85981" w14:textId="77777777" w:rsidR="00D3217C" w:rsidRDefault="007524D1">
            <w:pPr>
              <w:widowControl/>
              <w:spacing w:line="360" w:lineRule="auto"/>
              <w:jc w:val="left"/>
              <w:rPr>
                <w:rFonts w:ascii="宋体" w:eastAsia="宋体" w:hAnsi="宋体" w:cs="宋体"/>
                <w:szCs w:val="21"/>
              </w:rPr>
            </w:pPr>
            <w:r>
              <w:rPr>
                <w:rFonts w:ascii="宋体" w:eastAsia="宋体" w:hAnsi="宋体" w:cs="宋体" w:hint="eastAsia"/>
                <w:szCs w:val="21"/>
              </w:rPr>
              <w:t>4.1</w:t>
            </w:r>
            <w:proofErr w:type="gramStart"/>
            <w:r>
              <w:rPr>
                <w:rFonts w:ascii="宋体" w:eastAsia="宋体" w:hAnsi="宋体" w:cs="宋体" w:hint="eastAsia"/>
                <w:szCs w:val="21"/>
              </w:rPr>
              <w:t>报产品</w:t>
            </w:r>
            <w:proofErr w:type="gramEnd"/>
            <w:r>
              <w:rPr>
                <w:rFonts w:ascii="宋体" w:eastAsia="宋体" w:hAnsi="宋体" w:cs="宋体" w:hint="eastAsia"/>
                <w:szCs w:val="21"/>
              </w:rPr>
              <w:t>总价中应包含：安装调试费用、辅助材料费、运输费用、材料搬运及垃圾清理、安全措施及工人保险费、施工配合费、税费等使项目验收合格达到可使用状态的全部费用。</w:t>
            </w:r>
          </w:p>
        </w:tc>
      </w:tr>
    </w:tbl>
    <w:p w14:paraId="3403166D" w14:textId="77777777" w:rsidR="00D3217C" w:rsidRDefault="00D3217C">
      <w:pPr>
        <w:spacing w:line="360" w:lineRule="auto"/>
        <w:jc w:val="left"/>
        <w:rPr>
          <w:rFonts w:ascii="宋体" w:hAnsi="宋体"/>
          <w:szCs w:val="21"/>
        </w:rPr>
      </w:pPr>
    </w:p>
    <w:sectPr w:rsidR="00D321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524D1"/>
    <w:rsid w:val="00777AD3"/>
    <w:rsid w:val="00793D12"/>
    <w:rsid w:val="007D1F25"/>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5323"/>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3217C"/>
    <w:rsid w:val="00D438FE"/>
    <w:rsid w:val="00DA0480"/>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7FC"/>
    <w:rsid w:val="00F83CD6"/>
    <w:rsid w:val="00FA1633"/>
    <w:rsid w:val="00FB0830"/>
    <w:rsid w:val="00FB1B3A"/>
    <w:rsid w:val="00FB5F4A"/>
    <w:rsid w:val="00FC7D6A"/>
    <w:rsid w:val="036F754E"/>
    <w:rsid w:val="048F7CF9"/>
    <w:rsid w:val="049D226F"/>
    <w:rsid w:val="04B65AC7"/>
    <w:rsid w:val="058A4E3A"/>
    <w:rsid w:val="0765707E"/>
    <w:rsid w:val="0854453D"/>
    <w:rsid w:val="09073553"/>
    <w:rsid w:val="09DA7694"/>
    <w:rsid w:val="0A9E5E78"/>
    <w:rsid w:val="0B485EB8"/>
    <w:rsid w:val="0B517B6C"/>
    <w:rsid w:val="0C203F65"/>
    <w:rsid w:val="0CC706B3"/>
    <w:rsid w:val="0EED71E4"/>
    <w:rsid w:val="109A5383"/>
    <w:rsid w:val="170F7A65"/>
    <w:rsid w:val="174D4F79"/>
    <w:rsid w:val="17E81E76"/>
    <w:rsid w:val="18AC0597"/>
    <w:rsid w:val="1D862F93"/>
    <w:rsid w:val="21875313"/>
    <w:rsid w:val="21EC6994"/>
    <w:rsid w:val="22ED6D05"/>
    <w:rsid w:val="26BE6DC1"/>
    <w:rsid w:val="292D4A52"/>
    <w:rsid w:val="29EC2720"/>
    <w:rsid w:val="2A0E49A3"/>
    <w:rsid w:val="2A42162C"/>
    <w:rsid w:val="2A494B02"/>
    <w:rsid w:val="2AB018C8"/>
    <w:rsid w:val="2BFA43C9"/>
    <w:rsid w:val="2C0E381B"/>
    <w:rsid w:val="2D864A37"/>
    <w:rsid w:val="324E741C"/>
    <w:rsid w:val="32D21CC1"/>
    <w:rsid w:val="34CA2A79"/>
    <w:rsid w:val="352E4096"/>
    <w:rsid w:val="357E0CC8"/>
    <w:rsid w:val="3C5B0F96"/>
    <w:rsid w:val="3CA134EE"/>
    <w:rsid w:val="3DA96560"/>
    <w:rsid w:val="3DF17F4E"/>
    <w:rsid w:val="3E6A55D2"/>
    <w:rsid w:val="3ECC4B13"/>
    <w:rsid w:val="44886B1A"/>
    <w:rsid w:val="44E94CF5"/>
    <w:rsid w:val="4C256B6E"/>
    <w:rsid w:val="4D706CF0"/>
    <w:rsid w:val="4E1E4E63"/>
    <w:rsid w:val="4EF7686B"/>
    <w:rsid w:val="4F333DAB"/>
    <w:rsid w:val="502D01A5"/>
    <w:rsid w:val="51E905F8"/>
    <w:rsid w:val="523E7302"/>
    <w:rsid w:val="525F68BD"/>
    <w:rsid w:val="53F62E67"/>
    <w:rsid w:val="545A24A8"/>
    <w:rsid w:val="552A53DF"/>
    <w:rsid w:val="57781D9A"/>
    <w:rsid w:val="5A1023A0"/>
    <w:rsid w:val="5AE34457"/>
    <w:rsid w:val="605B081C"/>
    <w:rsid w:val="62553538"/>
    <w:rsid w:val="636D14A2"/>
    <w:rsid w:val="6719236C"/>
    <w:rsid w:val="673E7B97"/>
    <w:rsid w:val="6A331379"/>
    <w:rsid w:val="72F52066"/>
    <w:rsid w:val="73206917"/>
    <w:rsid w:val="766C59F7"/>
    <w:rsid w:val="77560455"/>
    <w:rsid w:val="78CC09A7"/>
    <w:rsid w:val="7A690D0D"/>
    <w:rsid w:val="7BF85F7F"/>
    <w:rsid w:val="7C9164CF"/>
    <w:rsid w:val="7D5F5753"/>
    <w:rsid w:val="7D7D78D5"/>
    <w:rsid w:val="7E932EEE"/>
    <w:rsid w:val="7EC37B79"/>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D61D"/>
  <w15:docId w15:val="{0EA36C49-BAC2-4D13-88D7-4323C8EF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375</Words>
  <Characters>2142</Characters>
  <Application>Microsoft Office Word</Application>
  <DocSecurity>0</DocSecurity>
  <Lines>17</Lines>
  <Paragraphs>5</Paragraphs>
  <ScaleCrop>false</ScaleCrop>
  <Company>HP Inc.</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apple</cp:lastModifiedBy>
  <cp:revision>12</cp:revision>
  <dcterms:created xsi:type="dcterms:W3CDTF">2025-04-29T08:50:00Z</dcterms:created>
  <dcterms:modified xsi:type="dcterms:W3CDTF">2025-12-05T09:51:00Z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CB7E0C21FC07490BB364002296041FF9_13</vt:lpwstr>
  </property>
  <property fmtid="{D5CDD505-2E9C-101B-9397-08002B2CF9AE}" pid="4" name="KSOTemplateDocerSaveRecord">
    <vt:lpwstr>eyJoZGlkIjoiNTA4NDhlMjJiODNmMTczNTRhZTJjMDkxMmViMDQ5NWUiLCJ1c2VySWQiOiIxMTYxMTAxODExIn0=</vt:lpwstr>
  </property>
</Properties>
</file>