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高性能图形工作站采购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u w:val="single"/>
        </w:rPr>
        <w:t xml:space="preserve">  1  </w:t>
      </w:r>
      <w:r>
        <w:rPr>
          <w:rFonts w:hint="eastAsia" w:ascii="仿宋" w:hAnsi="仿宋" w:eastAsia="仿宋"/>
          <w:sz w:val="28"/>
          <w:szCs w:val="28"/>
        </w:rPr>
        <w:t>台高性能工作站，预算总价为</w:t>
      </w:r>
      <w:r>
        <w:rPr>
          <w:rFonts w:ascii="仿宋" w:hAnsi="仿宋" w:eastAsia="仿宋"/>
          <w:sz w:val="28"/>
          <w:szCs w:val="28"/>
          <w:u w:val="single"/>
        </w:rPr>
        <w:t xml:space="preserve">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widowControl/>
              <w:spacing w:line="360" w:lineRule="auto"/>
              <w:rPr>
                <w:rFonts w:ascii="Times New Roman" w:hAnsi="Times New Roman" w:eastAsia="宋体" w:cs="Times New Roman"/>
                <w:sz w:val="20"/>
                <w:szCs w:val="24"/>
              </w:rPr>
            </w:pPr>
            <w:r>
              <w:rPr>
                <w:rFonts w:hint="eastAsia" w:ascii="Times New Roman" w:hAnsi="Times New Roman" w:eastAsia="宋体" w:cs="Times New Roman"/>
                <w:sz w:val="20"/>
                <w:szCs w:val="24"/>
              </w:rPr>
              <w:t>移动工作站</w:t>
            </w:r>
          </w:p>
        </w:tc>
        <w:tc>
          <w:tcPr>
            <w:tcW w:w="4111" w:type="dxa"/>
            <w:vAlign w:val="center"/>
          </w:tcPr>
          <w:p w14:paraId="3CBCE3A9">
            <w:pPr>
              <w:widowControl/>
              <w:spacing w:line="360" w:lineRule="auto"/>
              <w:rPr>
                <w:rFonts w:ascii="宋体" w:hAnsi="宋体" w:eastAsia="宋体" w:cs="宋体"/>
                <w:szCs w:val="21"/>
              </w:rPr>
            </w:pPr>
            <w:r>
              <w:rPr>
                <w:rFonts w:ascii="Times New Roman" w:hAnsi="Times New Roman" w:eastAsia="宋体" w:cs="Times New Roman"/>
                <w:sz w:val="20"/>
                <w:szCs w:val="24"/>
              </w:rPr>
              <w:t>ThinkPadX1 Carbon Aura AI 2025酷睿Ultra9-288V /32G /2T /专业版/4G流量卡</w:t>
            </w:r>
            <w:r>
              <w:rPr>
                <w:rFonts w:hint="eastAsia" w:ascii="Times New Roman" w:hAnsi="Times New Roman" w:eastAsia="宋体" w:cs="Times New Roman"/>
                <w:sz w:val="20"/>
                <w:szCs w:val="24"/>
              </w:rPr>
              <w:t>/</w:t>
            </w:r>
            <w:r>
              <w:rPr>
                <w:rFonts w:ascii="Times New Roman" w:hAnsi="Times New Roman" w:eastAsia="宋体" w:cs="Times New Roman"/>
                <w:sz w:val="20"/>
                <w:szCs w:val="24"/>
              </w:rPr>
              <w:t xml:space="preserve"> Adobe Elements Family3-year term license/Zoho Office Suite/Microsoft 365 /Google Workspace/</w:t>
            </w:r>
            <w:r>
              <w:rPr>
                <w:rFonts w:hint="eastAsia" w:ascii="Times New Roman" w:hAnsi="Times New Roman" w:eastAsia="宋体" w:cs="Times New Roman"/>
                <w:sz w:val="20"/>
                <w:szCs w:val="24"/>
              </w:rPr>
              <w:t>搭配产品</w:t>
            </w:r>
            <w:r>
              <w:rPr>
                <w:rFonts w:ascii="Times New Roman" w:hAnsi="Times New Roman" w:eastAsia="宋体" w:cs="Times New Roman"/>
                <w:sz w:val="20"/>
                <w:szCs w:val="24"/>
              </w:rPr>
              <w:t>5000 万像素摄像头 ，强视频采集能力 ；8 阵列麦克风与 20W 扩声喇叭</w:t>
            </w:r>
            <w:r>
              <w:rPr>
                <w:rFonts w:hint="eastAsia" w:ascii="Times New Roman" w:hAnsi="Times New Roman" w:eastAsia="宋体" w:cs="Times New Roman"/>
                <w:sz w:val="20"/>
                <w:szCs w:val="24"/>
              </w:rPr>
              <w:t>/支持</w:t>
            </w:r>
            <w:r>
              <w:rPr>
                <w:rFonts w:ascii="Times New Roman" w:hAnsi="Times New Roman" w:eastAsia="宋体" w:cs="Times New Roman"/>
                <w:sz w:val="20"/>
                <w:szCs w:val="24"/>
              </w:rPr>
              <w:t>WIFI6 ，双无线模块保障网络稳定快速</w:t>
            </w:r>
            <w:r>
              <w:rPr>
                <w:rFonts w:hint="eastAsia" w:ascii="Times New Roman" w:hAnsi="Times New Roman" w:eastAsia="宋体" w:cs="Times New Roman"/>
                <w:sz w:val="20"/>
                <w:szCs w:val="24"/>
              </w:rPr>
              <w:t>/支持第三方应用</w:t>
            </w:r>
            <w:r>
              <w:rPr>
                <w:rFonts w:ascii="Times New Roman" w:hAnsi="Times New Roman" w:eastAsia="宋体" w:cs="Times New Roman"/>
                <w:sz w:val="20"/>
                <w:szCs w:val="24"/>
              </w:rPr>
              <w:t xml:space="preserve"> 、IOT 平台及硬件接口调用 ，还可自定义桌面和信源</w:t>
            </w:r>
            <w:r>
              <w:rPr>
                <w:rFonts w:hint="eastAsia" w:ascii="Times New Roman" w:hAnsi="Times New Roman" w:eastAsia="宋体" w:cs="Times New Roman"/>
                <w:sz w:val="20"/>
                <w:szCs w:val="24"/>
              </w:rPr>
              <w:t>/</w:t>
            </w:r>
            <w:r>
              <w:rPr>
                <w:rFonts w:ascii="Times New Roman" w:hAnsi="Times New Roman" w:eastAsia="宋体" w:cs="Times New Roman"/>
                <w:sz w:val="20"/>
                <w:szCs w:val="24"/>
              </w:rPr>
              <w:t xml:space="preserve"> External library/sql svr/mysql/oracle</w:t>
            </w:r>
          </w:p>
        </w:tc>
        <w:tc>
          <w:tcPr>
            <w:tcW w:w="992" w:type="dxa"/>
            <w:vAlign w:val="center"/>
          </w:tcPr>
          <w:p w14:paraId="35769300">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40599</w:t>
            </w:r>
          </w:p>
        </w:tc>
        <w:tc>
          <w:tcPr>
            <w:tcW w:w="567" w:type="dxa"/>
            <w:vAlign w:val="center"/>
          </w:tcPr>
          <w:p w14:paraId="20F24137">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40599</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40599</w:t>
            </w:r>
            <w:bookmarkStart w:id="1" w:name="_GoBack"/>
            <w:bookmarkEnd w:id="1"/>
          </w:p>
        </w:tc>
      </w:tr>
    </w:tbl>
    <w:p w14:paraId="18F901F5">
      <w:pPr>
        <w:rPr>
          <w:highlight w:val="yellow"/>
        </w:rPr>
      </w:pP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五年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 xml:space="preserve">2.1 供应商须在签订合同之日起 </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5DE37563">
            <w:pP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pPr>
              <w:widowControl/>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r>
              <w:rPr>
                <w:rFonts w:hint="eastAsia" w:ascii="宋体" w:hAnsi="宋体" w:eastAsia="宋体" w:cs="宋体"/>
                <w:szCs w:val="21"/>
              </w:rPr>
              <w:t>多类型稿件处理正版软件功能如下：多类型稿件处理</w:t>
            </w:r>
            <w:r>
              <w:rPr>
                <w:rFonts w:hint="eastAsia" w:ascii="MS Gothic" w:hAnsi="MS Gothic" w:eastAsia="MS Gothic" w:cs="MS Gothic"/>
                <w:szCs w:val="21"/>
              </w:rPr>
              <w:t>‌</w:t>
            </w:r>
            <w:r>
              <w:rPr>
                <w:rFonts w:hint="eastAsia" w:ascii="宋体" w:hAnsi="宋体" w:eastAsia="宋体" w:cs="宋体"/>
                <w:szCs w:val="21"/>
              </w:rPr>
              <w:t>：支持图文混编、音视频稿件的移动投稿，以及内容的编辑、审核、签发等操作。</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选题策划管理</w:t>
            </w:r>
            <w:r>
              <w:rPr>
                <w:rFonts w:hint="eastAsia" w:ascii="MS Gothic" w:hAnsi="MS Gothic" w:eastAsia="MS Gothic" w:cs="MS Gothic"/>
                <w:szCs w:val="21"/>
              </w:rPr>
              <w:t>‌</w:t>
            </w:r>
            <w:r>
              <w:rPr>
                <w:rFonts w:hint="eastAsia" w:ascii="宋体" w:hAnsi="宋体" w:eastAsia="宋体" w:cs="宋体"/>
                <w:szCs w:val="21"/>
              </w:rPr>
              <w:t>：提供超融合选题策划功能，支持多部门协同工作。</w:t>
            </w:r>
          </w:p>
          <w:p w14:paraId="439F8F5E">
            <w:pPr>
              <w:widowControl/>
              <w:spacing w:line="360" w:lineRule="auto"/>
              <w:rPr>
                <w:rFonts w:ascii="宋体" w:hAnsi="宋体" w:eastAsia="宋体" w:cs="宋体"/>
                <w:szCs w:val="21"/>
              </w:rPr>
            </w:pPr>
            <w:r>
              <w:rPr>
                <w:rFonts w:hint="eastAsia" w:ascii="宋体" w:hAnsi="宋体" w:eastAsia="宋体" w:cs="宋体"/>
                <w:szCs w:val="21"/>
              </w:rPr>
              <w:t>全流程管理</w:t>
            </w:r>
            <w:r>
              <w:rPr>
                <w:rFonts w:hint="eastAsia" w:ascii="MS Gothic" w:hAnsi="MS Gothic" w:eastAsia="MS Gothic" w:cs="MS Gothic"/>
                <w:szCs w:val="21"/>
              </w:rPr>
              <w:t>‌</w:t>
            </w:r>
            <w:r>
              <w:rPr>
                <w:rFonts w:hint="eastAsia" w:ascii="宋体" w:hAnsi="宋体" w:eastAsia="宋体" w:cs="宋体"/>
                <w:szCs w:val="21"/>
              </w:rPr>
              <w:t>：覆盖新闻客户端、网站的内容发布、审核等全流程管理。</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移动办公支持</w:t>
            </w:r>
            <w:r>
              <w:rPr>
                <w:rFonts w:hint="eastAsia" w:ascii="MS Gothic" w:hAnsi="MS Gothic" w:eastAsia="MS Gothic" w:cs="MS Gothic"/>
                <w:szCs w:val="21"/>
              </w:rPr>
              <w:t>‌</w:t>
            </w:r>
            <w:r>
              <w:rPr>
                <w:rFonts w:hint="eastAsia" w:ascii="宋体" w:hAnsi="宋体" w:eastAsia="宋体" w:cs="宋体"/>
                <w:szCs w:val="21"/>
              </w:rPr>
              <w:t>：实现移动工作室、移动编辑部等功能，支持移动端考核查询与指挥调度。</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该软件采用</w:t>
            </w:r>
            <w:r>
              <w:rPr>
                <w:rFonts w:ascii="宋体" w:hAnsi="宋体" w:eastAsia="宋体" w:cs="宋体"/>
                <w:szCs w:val="21"/>
              </w:rPr>
              <w:t>Flutter技术开发，适配安卓</w:t>
            </w:r>
            <w:r>
              <w:rPr>
                <w:rFonts w:hint="eastAsia" w:ascii="宋体" w:hAnsi="宋体" w:eastAsia="宋体" w:cs="宋体"/>
                <w:szCs w:val="21"/>
              </w:rPr>
              <w:t>/</w:t>
            </w:r>
            <w:r>
              <w:rPr>
                <w:rFonts w:ascii="宋体" w:hAnsi="宋体" w:eastAsia="宋体" w:cs="宋体"/>
                <w:szCs w:val="21"/>
              </w:rPr>
              <w:t>iOS/win系统</w:t>
            </w:r>
            <w:r>
              <w:rPr>
                <w:rFonts w:hint="eastAsia" w:ascii="宋体" w:hAnsi="宋体" w:eastAsia="宋体" w:cs="宋体"/>
                <w:szCs w:val="21"/>
              </w:rPr>
              <w:t>。</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81151"/>
    <w:rsid w:val="00192BE5"/>
    <w:rsid w:val="00194D8C"/>
    <w:rsid w:val="001B6657"/>
    <w:rsid w:val="001C2855"/>
    <w:rsid w:val="001E6535"/>
    <w:rsid w:val="002316FA"/>
    <w:rsid w:val="00232B68"/>
    <w:rsid w:val="00241F29"/>
    <w:rsid w:val="002639DE"/>
    <w:rsid w:val="00277C9C"/>
    <w:rsid w:val="002847A0"/>
    <w:rsid w:val="002A035C"/>
    <w:rsid w:val="002A182F"/>
    <w:rsid w:val="002A51F2"/>
    <w:rsid w:val="002D1463"/>
    <w:rsid w:val="002D1E61"/>
    <w:rsid w:val="002E7440"/>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67D4"/>
    <w:rsid w:val="00610268"/>
    <w:rsid w:val="006376DE"/>
    <w:rsid w:val="0065536D"/>
    <w:rsid w:val="006B163F"/>
    <w:rsid w:val="006B43E7"/>
    <w:rsid w:val="006C7E25"/>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91D47"/>
    <w:rsid w:val="009C0872"/>
    <w:rsid w:val="009D6CBD"/>
    <w:rsid w:val="00A20AA6"/>
    <w:rsid w:val="00A2499B"/>
    <w:rsid w:val="00A309DE"/>
    <w:rsid w:val="00A521A6"/>
    <w:rsid w:val="00A60303"/>
    <w:rsid w:val="00A76012"/>
    <w:rsid w:val="00AB35E6"/>
    <w:rsid w:val="00AD6047"/>
    <w:rsid w:val="00AF7205"/>
    <w:rsid w:val="00AF7D63"/>
    <w:rsid w:val="00B10D88"/>
    <w:rsid w:val="00B130C0"/>
    <w:rsid w:val="00B51041"/>
    <w:rsid w:val="00B51849"/>
    <w:rsid w:val="00B754A1"/>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D10E62"/>
    <w:rsid w:val="00D143E6"/>
    <w:rsid w:val="00D24FA4"/>
    <w:rsid w:val="00D51DB9"/>
    <w:rsid w:val="00D87A85"/>
    <w:rsid w:val="00DA1E0A"/>
    <w:rsid w:val="00DA5C1C"/>
    <w:rsid w:val="00DC1743"/>
    <w:rsid w:val="00E046FE"/>
    <w:rsid w:val="00E1711A"/>
    <w:rsid w:val="00E42E18"/>
    <w:rsid w:val="00E5035D"/>
    <w:rsid w:val="00EB1E94"/>
    <w:rsid w:val="00EC3FE7"/>
    <w:rsid w:val="00EC4B27"/>
    <w:rsid w:val="00ED6D6C"/>
    <w:rsid w:val="00EF1347"/>
    <w:rsid w:val="00EF765F"/>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8053D7D"/>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1822</Words>
  <Characters>2034</Characters>
  <Lines>15</Lines>
  <Paragraphs>4</Paragraphs>
  <TotalTime>93</TotalTime>
  <ScaleCrop>false</ScaleCrop>
  <LinksUpToDate>false</LinksUpToDate>
  <CharactersWithSpaces>2088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施青</cp:lastModifiedBy>
  <dcterms:modified xsi:type="dcterms:W3CDTF">2025-11-19T02:43:06Z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177F9D817AB24FC1AE4D5E0252165E0C_13</vt:lpwstr>
  </property>
  <property fmtid="{D5CDD505-2E9C-101B-9397-08002B2CF9AE}" pid="4" name="KSOTemplateDocerSaveRecord">
    <vt:lpwstr>eyJoZGlkIjoiYzg1OTQ3ZWEyYjRmNDBkMTBlZDI0ODhlOGNhMjkzYzUiLCJ1c2VySWQiOiI0MDM0MDI2MzkifQ==</vt:lpwstr>
  </property>
</Properties>
</file>