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2F30BA">
      <w:pPr>
        <w:pStyle w:val="6"/>
        <w:widowControl/>
        <w:shd w:val="clear" w:color="auto" w:fill="FFFFFF"/>
        <w:spacing w:beforeAutospacing="0" w:afterAutospacing="0"/>
        <w:ind w:firstLine="3202" w:firstLineChars="1000"/>
        <w:jc w:val="both"/>
        <w:rPr>
          <w:rFonts w:ascii="微软雅黑" w:hAnsi="微软雅黑" w:eastAsia="微软雅黑" w:cs="微软雅黑"/>
          <w:b/>
          <w:bCs/>
          <w:color w:val="333333"/>
          <w:sz w:val="32"/>
          <w:szCs w:val="32"/>
        </w:rPr>
      </w:pPr>
      <w:r>
        <w:rPr>
          <w:rFonts w:hint="eastAsia" w:ascii="微软雅黑" w:hAnsi="微软雅黑" w:eastAsia="微软雅黑" w:cs="微软雅黑"/>
          <w:b/>
          <w:bCs/>
          <w:color w:val="333333"/>
          <w:sz w:val="32"/>
          <w:szCs w:val="32"/>
        </w:rPr>
        <w:t>E商城反拍需求模板</w:t>
      </w:r>
    </w:p>
    <w:tbl>
      <w:tblPr>
        <w:tblStyle w:val="8"/>
        <w:tblW w:w="0" w:type="auto"/>
        <w:tblInd w:w="-147" w:type="dxa"/>
        <w:tblLayout w:type="fixed"/>
        <w:tblCellMar>
          <w:top w:w="0" w:type="dxa"/>
          <w:left w:w="0" w:type="dxa"/>
          <w:bottom w:w="0" w:type="dxa"/>
          <w:right w:w="0" w:type="dxa"/>
        </w:tblCellMar>
      </w:tblPr>
      <w:tblGrid>
        <w:gridCol w:w="1204"/>
        <w:gridCol w:w="7824"/>
      </w:tblGrid>
      <w:tr w14:paraId="43C6C055">
        <w:tblPrEx>
          <w:tblCellMar>
            <w:top w:w="0" w:type="dxa"/>
            <w:left w:w="0" w:type="dxa"/>
            <w:bottom w:w="0" w:type="dxa"/>
            <w:right w:w="0" w:type="dxa"/>
          </w:tblCellMar>
        </w:tblPrEx>
        <w:trPr>
          <w:trHeight w:val="986" w:hRule="atLeast"/>
        </w:trPr>
        <w:tc>
          <w:tcPr>
            <w:tcW w:w="1204" w:type="dxa"/>
            <w:tcBorders>
              <w:top w:val="single" w:color="000000" w:sz="4" w:space="0"/>
              <w:left w:val="single" w:color="000000" w:sz="4" w:space="0"/>
              <w:bottom w:val="single" w:color="auto" w:sz="4" w:space="0"/>
              <w:right w:val="single" w:color="000000" w:sz="4" w:space="0"/>
            </w:tcBorders>
            <w:noWrap w:val="0"/>
            <w:tcMar>
              <w:left w:w="70" w:type="dxa"/>
              <w:right w:w="70" w:type="dxa"/>
            </w:tcMar>
            <w:vAlign w:val="center"/>
          </w:tcPr>
          <w:p w14:paraId="4C8E5DE6">
            <w:pPr>
              <w:pStyle w:val="6"/>
              <w:widowControl/>
              <w:spacing w:beforeAutospacing="0" w:afterAutospacing="0"/>
              <w:jc w:val="center"/>
              <w:rPr>
                <w:color w:val="000000"/>
                <w:sz w:val="21"/>
                <w:szCs w:val="21"/>
              </w:rPr>
            </w:pPr>
            <w:r>
              <w:rPr>
                <w:rStyle w:val="10"/>
                <w:rFonts w:hint="eastAsia" w:ascii="宋体" w:hAnsi="宋体" w:cs="宋体"/>
                <w:bCs/>
                <w:color w:val="000000"/>
                <w:sz w:val="21"/>
                <w:szCs w:val="21"/>
              </w:rPr>
              <w:t>供应商资格要求</w:t>
            </w:r>
          </w:p>
        </w:tc>
        <w:tc>
          <w:tcPr>
            <w:tcW w:w="7824" w:type="dxa"/>
            <w:tcBorders>
              <w:top w:val="single" w:color="000000" w:sz="4" w:space="0"/>
              <w:left w:val="nil"/>
              <w:bottom w:val="single" w:color="auto" w:sz="4" w:space="0"/>
              <w:right w:val="single" w:color="000000" w:sz="4" w:space="0"/>
            </w:tcBorders>
            <w:noWrap w:val="0"/>
            <w:tcMar>
              <w:left w:w="70" w:type="dxa"/>
              <w:right w:w="70" w:type="dxa"/>
            </w:tcMar>
            <w:vAlign w:val="top"/>
          </w:tcPr>
          <w:p w14:paraId="2C0B9D45">
            <w:pPr>
              <w:pStyle w:val="6"/>
              <w:widowControl/>
              <w:spacing w:beforeAutospacing="0" w:afterAutospacing="0"/>
              <w:rPr>
                <w:color w:val="000000"/>
                <w:sz w:val="21"/>
                <w:szCs w:val="21"/>
              </w:rPr>
            </w:pPr>
          </w:p>
          <w:p w14:paraId="5A0536A6">
            <w:pPr>
              <w:pStyle w:val="6"/>
              <w:widowControl/>
              <w:spacing w:beforeAutospacing="0" w:afterAutospacing="0"/>
              <w:rPr>
                <w:color w:val="000000"/>
                <w:sz w:val="21"/>
                <w:szCs w:val="21"/>
              </w:rPr>
            </w:pPr>
            <w:r>
              <w:rPr>
                <w:rStyle w:val="10"/>
                <w:rFonts w:hint="eastAsia" w:ascii="宋体" w:hAnsi="宋体" w:cs="宋体"/>
                <w:bCs/>
                <w:color w:val="000000"/>
                <w:sz w:val="21"/>
                <w:szCs w:val="21"/>
              </w:rPr>
              <w:t>采购人不用制定。</w:t>
            </w:r>
          </w:p>
        </w:tc>
      </w:tr>
      <w:tr w14:paraId="150C5391">
        <w:tblPrEx>
          <w:tblCellMar>
            <w:top w:w="0" w:type="dxa"/>
            <w:left w:w="0" w:type="dxa"/>
            <w:bottom w:w="0" w:type="dxa"/>
            <w:right w:w="0" w:type="dxa"/>
          </w:tblCellMar>
        </w:tblPrEx>
        <w:trPr>
          <w:trHeight w:val="786" w:hRule="atLeast"/>
        </w:trPr>
        <w:tc>
          <w:tcPr>
            <w:tcW w:w="120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center"/>
          </w:tcPr>
          <w:p w14:paraId="433834D1">
            <w:pPr>
              <w:pStyle w:val="6"/>
              <w:widowControl/>
              <w:spacing w:beforeAutospacing="0" w:afterAutospacing="0"/>
              <w:jc w:val="center"/>
              <w:rPr>
                <w:sz w:val="21"/>
                <w:szCs w:val="21"/>
              </w:rPr>
            </w:pPr>
            <w:r>
              <w:rPr>
                <w:rStyle w:val="10"/>
                <w:rFonts w:hint="eastAsia" w:ascii="宋体" w:hAnsi="宋体" w:cs="宋体"/>
                <w:bCs/>
                <w:sz w:val="21"/>
                <w:szCs w:val="21"/>
              </w:rPr>
              <w:t>报价要求</w:t>
            </w:r>
          </w:p>
        </w:tc>
        <w:tc>
          <w:tcPr>
            <w:tcW w:w="782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4A26CA31">
            <w:pPr>
              <w:pStyle w:val="6"/>
              <w:widowControl/>
              <w:spacing w:beforeAutospacing="0" w:afterAutospacing="0"/>
              <w:rPr>
                <w:sz w:val="21"/>
                <w:szCs w:val="21"/>
              </w:rPr>
            </w:pPr>
            <w:r>
              <w:rPr>
                <w:rFonts w:hint="eastAsia" w:ascii="宋体" w:hAnsi="宋体" w:cs="宋体"/>
                <w:sz w:val="21"/>
                <w:szCs w:val="21"/>
              </w:rPr>
              <w:t>报价必须是完成该项目的一切费用总和，包括设备费、运输费、装卸费、保险费、技术培训费、调试费、售后服务费、国家规定的各项税费等全部费用。</w:t>
            </w:r>
          </w:p>
        </w:tc>
      </w:tr>
      <w:tr w14:paraId="571F191A">
        <w:tblPrEx>
          <w:tblCellMar>
            <w:top w:w="0" w:type="dxa"/>
            <w:left w:w="0" w:type="dxa"/>
            <w:bottom w:w="0" w:type="dxa"/>
            <w:right w:w="0" w:type="dxa"/>
          </w:tblCellMar>
        </w:tblPrEx>
        <w:trPr>
          <w:trHeight w:val="1180" w:hRule="atLeast"/>
        </w:trPr>
        <w:tc>
          <w:tcPr>
            <w:tcW w:w="120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148D5E1D">
            <w:pPr>
              <w:pStyle w:val="6"/>
              <w:widowControl/>
              <w:spacing w:beforeAutospacing="0" w:afterAutospacing="0"/>
              <w:jc w:val="center"/>
              <w:rPr>
                <w:sz w:val="21"/>
                <w:szCs w:val="21"/>
              </w:rPr>
            </w:pPr>
            <w:r>
              <w:rPr>
                <w:rStyle w:val="10"/>
                <w:rFonts w:hint="eastAsia" w:ascii="宋体" w:hAnsi="宋体" w:cs="宋体"/>
                <w:bCs/>
                <w:sz w:val="21"/>
                <w:szCs w:val="21"/>
              </w:rPr>
              <w:t>采购清单</w:t>
            </w:r>
          </w:p>
        </w:tc>
        <w:tc>
          <w:tcPr>
            <w:tcW w:w="782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60F100E6">
            <w:pPr>
              <w:pStyle w:val="6"/>
              <w:widowControl/>
              <w:spacing w:beforeAutospacing="0" w:afterAutospacing="0"/>
              <w:rPr>
                <w:rStyle w:val="10"/>
                <w:rFonts w:ascii="宋体" w:hAnsi="宋体" w:cs="宋体"/>
                <w:bCs/>
                <w:color w:val="0000FF"/>
                <w:sz w:val="21"/>
                <w:szCs w:val="21"/>
              </w:rPr>
            </w:pP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5"/>
              <w:gridCol w:w="1236"/>
              <w:gridCol w:w="1231"/>
              <w:gridCol w:w="1243"/>
              <w:gridCol w:w="930"/>
              <w:gridCol w:w="1088"/>
              <w:gridCol w:w="1146"/>
            </w:tblGrid>
            <w:tr w14:paraId="72FB0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5" w:type="dxa"/>
                  <w:noWrap w:val="0"/>
                  <w:vAlign w:val="center"/>
                </w:tcPr>
                <w:p w14:paraId="09008B92">
                  <w:pPr>
                    <w:pStyle w:val="6"/>
                    <w:widowControl/>
                    <w:spacing w:beforeAutospacing="0" w:afterAutospacing="0"/>
                    <w:jc w:val="center"/>
                    <w:rPr>
                      <w:rFonts w:ascii="宋体" w:hAnsi="宋体" w:cs="宋体"/>
                      <w:sz w:val="21"/>
                      <w:szCs w:val="21"/>
                    </w:rPr>
                  </w:pPr>
                  <w:r>
                    <w:rPr>
                      <w:rFonts w:ascii="宋体" w:hAnsi="宋体" w:cs="宋体"/>
                      <w:sz w:val="21"/>
                      <w:szCs w:val="21"/>
                    </w:rPr>
                    <w:t>序号</w:t>
                  </w:r>
                </w:p>
              </w:tc>
              <w:tc>
                <w:tcPr>
                  <w:tcW w:w="1236" w:type="dxa"/>
                  <w:noWrap w:val="0"/>
                  <w:vAlign w:val="center"/>
                </w:tcPr>
                <w:p w14:paraId="66C04BDA">
                  <w:pPr>
                    <w:pStyle w:val="6"/>
                    <w:widowControl/>
                    <w:spacing w:beforeAutospacing="0" w:afterAutospacing="0"/>
                    <w:jc w:val="center"/>
                    <w:rPr>
                      <w:rFonts w:ascii="宋体" w:hAnsi="宋体" w:cs="宋体"/>
                      <w:sz w:val="21"/>
                      <w:szCs w:val="21"/>
                    </w:rPr>
                  </w:pPr>
                  <w:r>
                    <w:rPr>
                      <w:rFonts w:ascii="宋体" w:hAnsi="宋体" w:cs="宋体"/>
                      <w:sz w:val="21"/>
                      <w:szCs w:val="21"/>
                    </w:rPr>
                    <w:t>产品名称</w:t>
                  </w:r>
                </w:p>
              </w:tc>
              <w:tc>
                <w:tcPr>
                  <w:tcW w:w="1231" w:type="dxa"/>
                  <w:noWrap w:val="0"/>
                  <w:vAlign w:val="center"/>
                </w:tcPr>
                <w:p w14:paraId="1CC37276">
                  <w:pPr>
                    <w:pStyle w:val="6"/>
                    <w:widowControl/>
                    <w:spacing w:beforeAutospacing="0" w:afterAutospacing="0"/>
                    <w:jc w:val="center"/>
                    <w:rPr>
                      <w:rFonts w:hint="eastAsia" w:ascii="宋体" w:hAnsi="宋体" w:cs="宋体"/>
                      <w:sz w:val="21"/>
                      <w:szCs w:val="21"/>
                    </w:rPr>
                  </w:pPr>
                  <w:r>
                    <w:rPr>
                      <w:rFonts w:hint="eastAsia" w:ascii="宋体" w:hAnsi="宋体" w:cs="宋体"/>
                      <w:sz w:val="21"/>
                      <w:szCs w:val="21"/>
                    </w:rPr>
                    <w:t>意向</w:t>
                  </w:r>
                  <w:r>
                    <w:rPr>
                      <w:rFonts w:ascii="宋体" w:hAnsi="宋体" w:cs="宋体"/>
                      <w:sz w:val="21"/>
                      <w:szCs w:val="21"/>
                    </w:rPr>
                    <w:t>品牌</w:t>
                  </w:r>
                  <w:r>
                    <w:rPr>
                      <w:rFonts w:hint="eastAsia" w:ascii="宋体" w:hAnsi="宋体" w:cs="宋体"/>
                      <w:sz w:val="21"/>
                      <w:szCs w:val="21"/>
                    </w:rPr>
                    <w:t>型号</w:t>
                  </w:r>
                </w:p>
              </w:tc>
              <w:tc>
                <w:tcPr>
                  <w:tcW w:w="1243" w:type="dxa"/>
                  <w:noWrap w:val="0"/>
                  <w:vAlign w:val="center"/>
                </w:tcPr>
                <w:p w14:paraId="7FACF2A2">
                  <w:pPr>
                    <w:pStyle w:val="6"/>
                    <w:widowControl/>
                    <w:spacing w:beforeAutospacing="0" w:afterAutospacing="0"/>
                    <w:jc w:val="center"/>
                    <w:rPr>
                      <w:rFonts w:ascii="宋体" w:hAnsi="宋体" w:cs="宋体"/>
                      <w:sz w:val="21"/>
                      <w:szCs w:val="21"/>
                    </w:rPr>
                  </w:pPr>
                  <w:r>
                    <w:rPr>
                      <w:rFonts w:ascii="宋体" w:hAnsi="宋体" w:cs="宋体"/>
                      <w:sz w:val="21"/>
                      <w:szCs w:val="21"/>
                    </w:rPr>
                    <w:t>控制单价（元）</w:t>
                  </w:r>
                </w:p>
              </w:tc>
              <w:tc>
                <w:tcPr>
                  <w:tcW w:w="930" w:type="dxa"/>
                  <w:noWrap w:val="0"/>
                  <w:vAlign w:val="center"/>
                </w:tcPr>
                <w:p w14:paraId="064BAC84">
                  <w:pPr>
                    <w:pStyle w:val="6"/>
                    <w:widowControl/>
                    <w:spacing w:beforeAutospacing="0" w:afterAutospacing="0"/>
                    <w:jc w:val="center"/>
                    <w:rPr>
                      <w:rFonts w:ascii="宋体" w:hAnsi="宋体" w:cs="宋体"/>
                      <w:sz w:val="21"/>
                      <w:szCs w:val="21"/>
                    </w:rPr>
                  </w:pPr>
                  <w:r>
                    <w:rPr>
                      <w:rFonts w:ascii="宋体" w:hAnsi="宋体" w:cs="宋体"/>
                      <w:sz w:val="21"/>
                      <w:szCs w:val="21"/>
                    </w:rPr>
                    <w:t>数量</w:t>
                  </w:r>
                </w:p>
              </w:tc>
              <w:tc>
                <w:tcPr>
                  <w:tcW w:w="1088" w:type="dxa"/>
                  <w:noWrap w:val="0"/>
                  <w:vAlign w:val="center"/>
                </w:tcPr>
                <w:p w14:paraId="6335D1DF">
                  <w:pPr>
                    <w:pStyle w:val="6"/>
                    <w:widowControl/>
                    <w:spacing w:beforeAutospacing="0" w:afterAutospacing="0"/>
                    <w:jc w:val="center"/>
                    <w:rPr>
                      <w:rFonts w:ascii="宋体" w:hAnsi="宋体" w:cs="宋体"/>
                      <w:sz w:val="21"/>
                      <w:szCs w:val="21"/>
                    </w:rPr>
                  </w:pPr>
                  <w:r>
                    <w:rPr>
                      <w:rFonts w:ascii="宋体" w:hAnsi="宋体" w:cs="宋体"/>
                      <w:sz w:val="21"/>
                      <w:szCs w:val="21"/>
                    </w:rPr>
                    <w:t>计量单位</w:t>
                  </w:r>
                </w:p>
              </w:tc>
              <w:tc>
                <w:tcPr>
                  <w:tcW w:w="1146" w:type="dxa"/>
                  <w:noWrap w:val="0"/>
                  <w:vAlign w:val="center"/>
                </w:tcPr>
                <w:p w14:paraId="08964C5C">
                  <w:pPr>
                    <w:pStyle w:val="6"/>
                    <w:widowControl/>
                    <w:spacing w:beforeAutospacing="0" w:afterAutospacing="0"/>
                    <w:jc w:val="center"/>
                    <w:rPr>
                      <w:rFonts w:ascii="宋体" w:hAnsi="宋体" w:cs="宋体"/>
                      <w:sz w:val="21"/>
                      <w:szCs w:val="21"/>
                    </w:rPr>
                  </w:pPr>
                  <w:r>
                    <w:rPr>
                      <w:rFonts w:ascii="宋体" w:hAnsi="宋体" w:cs="宋体"/>
                      <w:sz w:val="21"/>
                      <w:szCs w:val="21"/>
                    </w:rPr>
                    <w:t>总预算金额（元）</w:t>
                  </w:r>
                </w:p>
              </w:tc>
            </w:tr>
            <w:tr w14:paraId="473C9A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5" w:type="dxa"/>
                  <w:noWrap w:val="0"/>
                  <w:vAlign w:val="center"/>
                </w:tcPr>
                <w:p w14:paraId="2D346AE8">
                  <w:pPr>
                    <w:pStyle w:val="6"/>
                    <w:widowControl/>
                    <w:spacing w:beforeAutospacing="0" w:afterAutospacing="0"/>
                    <w:jc w:val="center"/>
                    <w:rPr>
                      <w:rFonts w:ascii="宋体" w:hAnsi="宋体" w:cs="宋体"/>
                      <w:sz w:val="21"/>
                      <w:szCs w:val="21"/>
                    </w:rPr>
                  </w:pPr>
                  <w:r>
                    <w:rPr>
                      <w:rFonts w:ascii="宋体" w:hAnsi="宋体" w:cs="宋体"/>
                      <w:sz w:val="21"/>
                      <w:szCs w:val="21"/>
                    </w:rPr>
                    <w:t>1</w:t>
                  </w:r>
                </w:p>
              </w:tc>
              <w:tc>
                <w:tcPr>
                  <w:tcW w:w="1236" w:type="dxa"/>
                  <w:noWrap w:val="0"/>
                  <w:vAlign w:val="center"/>
                </w:tcPr>
                <w:p w14:paraId="1F4D01E4">
                  <w:pPr>
                    <w:pStyle w:val="6"/>
                    <w:widowControl/>
                    <w:spacing w:beforeAutospacing="0" w:afterAutospacing="0"/>
                    <w:jc w:val="center"/>
                    <w:rPr>
                      <w:rFonts w:ascii="宋体" w:hAnsi="宋体" w:cs="宋体"/>
                      <w:sz w:val="21"/>
                      <w:szCs w:val="21"/>
                    </w:rPr>
                  </w:pPr>
                  <w:r>
                    <w:rPr>
                      <w:rFonts w:hint="eastAsia" w:ascii="宋体" w:hAnsi="宋体" w:cs="宋体"/>
                      <w:sz w:val="21"/>
                      <w:szCs w:val="21"/>
                    </w:rPr>
                    <w:t>AIGC工作站</w:t>
                  </w:r>
                </w:p>
              </w:tc>
              <w:tc>
                <w:tcPr>
                  <w:tcW w:w="1231" w:type="dxa"/>
                  <w:noWrap w:val="0"/>
                  <w:vAlign w:val="center"/>
                </w:tcPr>
                <w:p w14:paraId="29D86156">
                  <w:pPr>
                    <w:widowControl/>
                    <w:jc w:val="left"/>
                    <w:textAlignment w:val="center"/>
                    <w:rPr>
                      <w:rFonts w:ascii="宋体" w:hAnsi="宋体" w:cs="宋体"/>
                      <w:szCs w:val="21"/>
                    </w:rPr>
                  </w:pPr>
                  <w:r>
                    <w:rPr>
                      <w:rFonts w:hint="eastAsia" w:ascii="宋体" w:hAnsi="宋体"/>
                      <w:sz w:val="22"/>
                      <w:szCs w:val="22"/>
                    </w:rPr>
                    <w:t>联想</w:t>
                  </w:r>
                  <w:r>
                    <w:rPr>
                      <w:rFonts w:ascii="宋体" w:hAnsi="宋体"/>
                      <w:sz w:val="22"/>
                      <w:szCs w:val="22"/>
                    </w:rPr>
                    <w:t>ThinkStation P368-C3F264</w:t>
                  </w:r>
                </w:p>
              </w:tc>
              <w:tc>
                <w:tcPr>
                  <w:tcW w:w="1243" w:type="dxa"/>
                  <w:noWrap w:val="0"/>
                  <w:vAlign w:val="center"/>
                </w:tcPr>
                <w:p w14:paraId="1388150D">
                  <w:pPr>
                    <w:pStyle w:val="6"/>
                    <w:widowControl/>
                    <w:spacing w:beforeAutospacing="0" w:afterAutospacing="0"/>
                    <w:jc w:val="center"/>
                    <w:rPr>
                      <w:rFonts w:ascii="宋体" w:hAnsi="宋体" w:cs="宋体"/>
                      <w:color w:val="000000"/>
                      <w:sz w:val="21"/>
                      <w:szCs w:val="21"/>
                    </w:rPr>
                  </w:pPr>
                  <w:r>
                    <w:rPr>
                      <w:rFonts w:hint="eastAsia" w:ascii="宋体" w:hAnsi="宋体" w:cs="宋体"/>
                      <w:color w:val="000000"/>
                      <w:sz w:val="21"/>
                      <w:szCs w:val="21"/>
                    </w:rPr>
                    <w:t>12000</w:t>
                  </w:r>
                </w:p>
              </w:tc>
              <w:tc>
                <w:tcPr>
                  <w:tcW w:w="930" w:type="dxa"/>
                  <w:noWrap w:val="0"/>
                  <w:vAlign w:val="center"/>
                </w:tcPr>
                <w:p w14:paraId="224B0702">
                  <w:pPr>
                    <w:pStyle w:val="6"/>
                    <w:widowControl/>
                    <w:spacing w:beforeAutospacing="0" w:afterAutospacing="0"/>
                    <w:jc w:val="center"/>
                    <w:rPr>
                      <w:rFonts w:ascii="宋体" w:hAnsi="宋体" w:cs="宋体"/>
                      <w:color w:val="000000"/>
                      <w:sz w:val="21"/>
                      <w:szCs w:val="21"/>
                    </w:rPr>
                  </w:pPr>
                  <w:r>
                    <w:rPr>
                      <w:rFonts w:hint="eastAsia" w:ascii="宋体" w:hAnsi="宋体" w:cs="宋体"/>
                      <w:color w:val="000000"/>
                      <w:sz w:val="21"/>
                      <w:szCs w:val="21"/>
                    </w:rPr>
                    <w:t>51</w:t>
                  </w:r>
                </w:p>
              </w:tc>
              <w:tc>
                <w:tcPr>
                  <w:tcW w:w="1088" w:type="dxa"/>
                  <w:noWrap w:val="0"/>
                  <w:vAlign w:val="center"/>
                </w:tcPr>
                <w:p w14:paraId="3EA21767">
                  <w:pPr>
                    <w:pStyle w:val="6"/>
                    <w:widowControl/>
                    <w:spacing w:beforeAutospacing="0" w:afterAutospacing="0"/>
                    <w:jc w:val="center"/>
                    <w:rPr>
                      <w:rFonts w:ascii="宋体" w:hAnsi="宋体" w:cs="宋体"/>
                      <w:color w:val="000000"/>
                      <w:sz w:val="21"/>
                      <w:szCs w:val="21"/>
                    </w:rPr>
                  </w:pPr>
                  <w:r>
                    <w:rPr>
                      <w:rFonts w:hint="eastAsia" w:ascii="宋体" w:hAnsi="宋体" w:cs="宋体"/>
                      <w:color w:val="000000"/>
                      <w:sz w:val="21"/>
                      <w:szCs w:val="21"/>
                    </w:rPr>
                    <w:t>台</w:t>
                  </w:r>
                </w:p>
              </w:tc>
              <w:tc>
                <w:tcPr>
                  <w:tcW w:w="1146" w:type="dxa"/>
                  <w:noWrap w:val="0"/>
                  <w:vAlign w:val="center"/>
                </w:tcPr>
                <w:p w14:paraId="66071A42">
                  <w:pPr>
                    <w:pStyle w:val="6"/>
                    <w:widowControl/>
                    <w:spacing w:beforeAutospacing="0" w:afterAutospacing="0"/>
                    <w:jc w:val="center"/>
                    <w:rPr>
                      <w:rFonts w:ascii="宋体" w:hAnsi="宋体" w:cs="宋体"/>
                      <w:color w:val="000000"/>
                      <w:sz w:val="21"/>
                      <w:szCs w:val="21"/>
                    </w:rPr>
                  </w:pPr>
                  <w:r>
                    <w:rPr>
                      <w:rFonts w:hint="eastAsia" w:ascii="宋体" w:hAnsi="宋体" w:cs="宋体"/>
                      <w:color w:val="000000"/>
                      <w:sz w:val="21"/>
                      <w:szCs w:val="21"/>
                    </w:rPr>
                    <w:t>612000</w:t>
                  </w:r>
                </w:p>
              </w:tc>
            </w:tr>
          </w:tbl>
          <w:p w14:paraId="1386356F">
            <w:pPr>
              <w:pStyle w:val="6"/>
              <w:widowControl/>
              <w:spacing w:beforeAutospacing="0" w:afterAutospacing="0"/>
              <w:rPr>
                <w:sz w:val="21"/>
                <w:szCs w:val="21"/>
              </w:rPr>
            </w:pPr>
            <w:r>
              <w:rPr>
                <w:rStyle w:val="10"/>
                <w:rFonts w:hint="eastAsia" w:ascii="宋体" w:hAnsi="宋体" w:cs="宋体"/>
                <w:bCs/>
                <w:color w:val="0000FF"/>
                <w:sz w:val="21"/>
                <w:szCs w:val="21"/>
              </w:rPr>
              <w:t>注：指定1</w:t>
            </w:r>
            <w:r>
              <w:rPr>
                <w:rStyle w:val="10"/>
                <w:rFonts w:ascii="宋体" w:hAnsi="宋体" w:cs="宋体"/>
                <w:bCs/>
                <w:color w:val="0000FF"/>
                <w:sz w:val="21"/>
                <w:szCs w:val="21"/>
              </w:rPr>
              <w:t>个品牌</w:t>
            </w:r>
            <w:r>
              <w:rPr>
                <w:rStyle w:val="10"/>
                <w:rFonts w:hint="eastAsia" w:ascii="宋体" w:hAnsi="宋体" w:cs="宋体"/>
                <w:bCs/>
                <w:color w:val="0000FF"/>
                <w:sz w:val="21"/>
                <w:szCs w:val="21"/>
              </w:rPr>
              <w:t>型号进行反拍</w:t>
            </w:r>
          </w:p>
        </w:tc>
      </w:tr>
      <w:tr w14:paraId="531D02AC">
        <w:tblPrEx>
          <w:tblCellMar>
            <w:top w:w="0" w:type="dxa"/>
            <w:left w:w="0" w:type="dxa"/>
            <w:bottom w:w="0" w:type="dxa"/>
            <w:right w:w="0" w:type="dxa"/>
          </w:tblCellMar>
        </w:tblPrEx>
        <w:trPr>
          <w:trHeight w:val="1760" w:hRule="atLeast"/>
        </w:trPr>
        <w:tc>
          <w:tcPr>
            <w:tcW w:w="120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6A64FE2D">
            <w:pPr>
              <w:pStyle w:val="6"/>
              <w:widowControl/>
              <w:spacing w:beforeAutospacing="0" w:afterAutospacing="0"/>
              <w:jc w:val="center"/>
              <w:rPr>
                <w:sz w:val="21"/>
                <w:szCs w:val="21"/>
              </w:rPr>
            </w:pPr>
            <w:r>
              <w:rPr>
                <w:rStyle w:val="10"/>
                <w:rFonts w:hint="eastAsia" w:ascii="宋体" w:hAnsi="宋体" w:cs="宋体"/>
                <w:bCs/>
                <w:sz w:val="21"/>
                <w:szCs w:val="21"/>
              </w:rPr>
              <w:t>技术要求</w:t>
            </w:r>
          </w:p>
        </w:tc>
        <w:tc>
          <w:tcPr>
            <w:tcW w:w="782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629825A7">
            <w:pPr>
              <w:pStyle w:val="6"/>
              <w:widowControl/>
              <w:spacing w:beforeAutospacing="0" w:afterAutospacing="0"/>
              <w:rPr>
                <w:sz w:val="21"/>
                <w:szCs w:val="21"/>
              </w:rPr>
            </w:pP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6"/>
              <w:gridCol w:w="1432"/>
              <w:gridCol w:w="5324"/>
            </w:tblGrid>
            <w:tr w14:paraId="56A60F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16" w:type="dxa"/>
                  <w:noWrap w:val="0"/>
                  <w:vAlign w:val="center"/>
                </w:tcPr>
                <w:p w14:paraId="553B88D8">
                  <w:pPr>
                    <w:pStyle w:val="6"/>
                    <w:widowControl/>
                    <w:spacing w:beforeAutospacing="0" w:afterAutospacing="0"/>
                    <w:jc w:val="center"/>
                    <w:rPr>
                      <w:rFonts w:ascii="宋体" w:hAnsi="宋体" w:cs="宋体"/>
                      <w:sz w:val="21"/>
                      <w:szCs w:val="21"/>
                    </w:rPr>
                  </w:pPr>
                  <w:r>
                    <w:rPr>
                      <w:rFonts w:ascii="宋体" w:hAnsi="宋体" w:cs="宋体"/>
                      <w:sz w:val="21"/>
                      <w:szCs w:val="21"/>
                    </w:rPr>
                    <w:t>序号</w:t>
                  </w:r>
                </w:p>
              </w:tc>
              <w:tc>
                <w:tcPr>
                  <w:tcW w:w="1432" w:type="dxa"/>
                  <w:noWrap w:val="0"/>
                  <w:vAlign w:val="center"/>
                </w:tcPr>
                <w:p w14:paraId="2FB7AD42">
                  <w:pPr>
                    <w:pStyle w:val="6"/>
                    <w:widowControl/>
                    <w:spacing w:beforeAutospacing="0" w:afterAutospacing="0"/>
                    <w:jc w:val="center"/>
                    <w:rPr>
                      <w:rFonts w:ascii="宋体" w:hAnsi="宋体" w:cs="宋体"/>
                      <w:sz w:val="21"/>
                      <w:szCs w:val="21"/>
                    </w:rPr>
                  </w:pPr>
                  <w:r>
                    <w:rPr>
                      <w:rFonts w:ascii="宋体" w:hAnsi="宋体" w:cs="宋体"/>
                      <w:sz w:val="21"/>
                      <w:szCs w:val="21"/>
                    </w:rPr>
                    <w:t>货物名称</w:t>
                  </w:r>
                </w:p>
              </w:tc>
              <w:tc>
                <w:tcPr>
                  <w:tcW w:w="5324" w:type="dxa"/>
                  <w:noWrap w:val="0"/>
                  <w:vAlign w:val="center"/>
                </w:tcPr>
                <w:p w14:paraId="214D1DD6">
                  <w:pPr>
                    <w:widowControl/>
                    <w:jc w:val="center"/>
                    <w:rPr>
                      <w:rFonts w:ascii="宋体" w:hAnsi="宋体" w:cs="宋体"/>
                      <w:kern w:val="0"/>
                      <w:szCs w:val="21"/>
                    </w:rPr>
                  </w:pPr>
                  <w:r>
                    <w:rPr>
                      <w:rFonts w:ascii="宋体" w:hAnsi="宋体" w:cs="宋体"/>
                      <w:kern w:val="0"/>
                      <w:szCs w:val="21"/>
                    </w:rPr>
                    <w:t>技术参数和规格</w:t>
                  </w:r>
                </w:p>
              </w:tc>
            </w:tr>
            <w:tr w14:paraId="04BA78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2" w:hRule="atLeast"/>
              </w:trPr>
              <w:tc>
                <w:tcPr>
                  <w:tcW w:w="916" w:type="dxa"/>
                  <w:noWrap w:val="0"/>
                  <w:vAlign w:val="center"/>
                </w:tcPr>
                <w:p w14:paraId="104F00BB">
                  <w:pPr>
                    <w:pStyle w:val="6"/>
                    <w:widowControl/>
                    <w:spacing w:beforeAutospacing="0" w:afterAutospacing="0"/>
                    <w:jc w:val="center"/>
                    <w:rPr>
                      <w:rFonts w:hint="eastAsia" w:ascii="宋体" w:hAnsi="宋体" w:cs="宋体"/>
                      <w:sz w:val="21"/>
                      <w:szCs w:val="21"/>
                    </w:rPr>
                  </w:pPr>
                  <w:r>
                    <w:rPr>
                      <w:rFonts w:hint="eastAsia" w:ascii="宋体" w:hAnsi="宋体" w:cs="宋体"/>
                      <w:sz w:val="21"/>
                      <w:szCs w:val="21"/>
                    </w:rPr>
                    <w:t>1</w:t>
                  </w:r>
                </w:p>
              </w:tc>
              <w:tc>
                <w:tcPr>
                  <w:tcW w:w="1432" w:type="dxa"/>
                  <w:noWrap w:val="0"/>
                  <w:vAlign w:val="center"/>
                </w:tcPr>
                <w:p w14:paraId="7DDB1FB4">
                  <w:pPr>
                    <w:widowControl/>
                    <w:jc w:val="center"/>
                    <w:textAlignment w:val="center"/>
                    <w:rPr>
                      <w:rFonts w:ascii="宋体" w:hAnsi="宋体" w:cs="宋体"/>
                      <w:szCs w:val="21"/>
                    </w:rPr>
                  </w:pPr>
                  <w:r>
                    <w:rPr>
                      <w:rFonts w:hint="eastAsia" w:ascii="宋体" w:hAnsi="宋体" w:cs="宋体"/>
                      <w:szCs w:val="21"/>
                    </w:rPr>
                    <w:t>AIGC工作站</w:t>
                  </w:r>
                </w:p>
              </w:tc>
              <w:tc>
                <w:tcPr>
                  <w:tcW w:w="5324" w:type="dxa"/>
                  <w:noWrap w:val="0"/>
                  <w:vAlign w:val="center"/>
                </w:tcPr>
                <w:p w14:paraId="07F948AE">
                  <w:pPr>
                    <w:adjustRightInd w:val="0"/>
                    <w:snapToGrid w:val="0"/>
                    <w:spacing w:line="240" w:lineRule="atLeast"/>
                    <w:rPr>
                      <w:rFonts w:hint="eastAsia" w:ascii="仿宋_GB2312" w:eastAsia="仿宋_GB2312"/>
                    </w:rPr>
                  </w:pPr>
                </w:p>
                <w:p w14:paraId="2573DB23">
                  <w:pPr>
                    <w:adjustRightInd w:val="0"/>
                    <w:snapToGrid w:val="0"/>
                    <w:spacing w:line="240" w:lineRule="atLeast"/>
                    <w:rPr>
                      <w:rFonts w:hint="eastAsia" w:ascii="仿宋_GB2312" w:eastAsia="仿宋_GB2312"/>
                    </w:rPr>
                  </w:pPr>
                  <w:r>
                    <w:rPr>
                      <w:rFonts w:ascii="仿宋_GB2312" w:eastAsia="仿宋_GB2312"/>
                    </w:rPr>
                    <w:t>1</w:t>
                  </w:r>
                  <w:r>
                    <w:rPr>
                      <w:rFonts w:hint="eastAsia" w:ascii="仿宋_GB2312" w:eastAsia="仿宋_GB2312"/>
                    </w:rPr>
                    <w:t>、CPU：Intel I7-14700处理器</w:t>
                  </w:r>
                </w:p>
                <w:p w14:paraId="6B625883">
                  <w:pPr>
                    <w:adjustRightInd w:val="0"/>
                    <w:snapToGrid w:val="0"/>
                    <w:spacing w:line="240" w:lineRule="atLeast"/>
                    <w:rPr>
                      <w:rFonts w:hint="eastAsia" w:ascii="仿宋_GB2312" w:eastAsia="仿宋_GB2312"/>
                    </w:rPr>
                  </w:pPr>
                  <w:r>
                    <w:rPr>
                      <w:rFonts w:ascii="仿宋_GB2312" w:eastAsia="仿宋_GB2312"/>
                    </w:rPr>
                    <w:t>2</w:t>
                  </w:r>
                  <w:r>
                    <w:rPr>
                      <w:rFonts w:hint="eastAsia" w:ascii="仿宋_GB2312" w:eastAsia="仿宋_GB2312"/>
                    </w:rPr>
                    <w:t>、主板：Intel芯片组</w:t>
                  </w:r>
                </w:p>
                <w:p w14:paraId="3F9DFDFA">
                  <w:pPr>
                    <w:adjustRightInd w:val="0"/>
                    <w:snapToGrid w:val="0"/>
                    <w:spacing w:line="240" w:lineRule="atLeast"/>
                    <w:rPr>
                      <w:rFonts w:hint="eastAsia" w:ascii="仿宋_GB2312" w:eastAsia="仿宋_GB2312"/>
                    </w:rPr>
                  </w:pPr>
                  <w:r>
                    <w:rPr>
                      <w:rFonts w:ascii="仿宋_GB2312" w:eastAsia="仿宋_GB2312"/>
                    </w:rPr>
                    <w:t>3</w:t>
                  </w:r>
                  <w:r>
                    <w:rPr>
                      <w:rFonts w:hint="eastAsia" w:ascii="仿宋_GB2312" w:eastAsia="仿宋_GB2312"/>
                    </w:rPr>
                    <w:t>、内存：32G DDR5内存，提供4个内存槽位</w:t>
                  </w:r>
                </w:p>
                <w:p w14:paraId="1E58B57D">
                  <w:pPr>
                    <w:adjustRightInd w:val="0"/>
                    <w:snapToGrid w:val="0"/>
                    <w:spacing w:line="240" w:lineRule="atLeast"/>
                    <w:rPr>
                      <w:rFonts w:hint="eastAsia" w:ascii="仿宋_GB2312" w:eastAsia="仿宋_GB2312"/>
                    </w:rPr>
                  </w:pPr>
                  <w:r>
                    <w:rPr>
                      <w:rFonts w:hint="eastAsia" w:ascii="仿宋_GB2312" w:eastAsia="仿宋_GB2312"/>
                    </w:rPr>
                    <w:t>4、显卡：RTX4060 8GB 独立显卡</w:t>
                  </w:r>
                </w:p>
                <w:p w14:paraId="0684B6CE">
                  <w:pPr>
                    <w:adjustRightInd w:val="0"/>
                    <w:snapToGrid w:val="0"/>
                    <w:spacing w:line="240" w:lineRule="atLeast"/>
                    <w:rPr>
                      <w:rFonts w:hint="eastAsia" w:ascii="仿宋_GB2312" w:eastAsia="仿宋_GB2312"/>
                    </w:rPr>
                  </w:pPr>
                  <w:r>
                    <w:rPr>
                      <w:rFonts w:ascii="仿宋_GB2312" w:eastAsia="仿宋_GB2312"/>
                    </w:rPr>
                    <w:t>5</w:t>
                  </w:r>
                  <w:r>
                    <w:rPr>
                      <w:rFonts w:hint="eastAsia" w:ascii="仿宋_GB2312" w:eastAsia="仿宋_GB2312"/>
                    </w:rPr>
                    <w:t>、声卡：集成声卡，支持5.1声道，音频接口5个</w:t>
                  </w:r>
                </w:p>
                <w:p w14:paraId="3EB6ECC3">
                  <w:pPr>
                    <w:adjustRightInd w:val="0"/>
                    <w:snapToGrid w:val="0"/>
                    <w:spacing w:line="240" w:lineRule="atLeast"/>
                    <w:rPr>
                      <w:rFonts w:hint="eastAsia" w:ascii="仿宋_GB2312" w:eastAsia="仿宋_GB2312"/>
                    </w:rPr>
                  </w:pPr>
                  <w:r>
                    <w:rPr>
                      <w:rFonts w:ascii="仿宋_GB2312" w:eastAsia="仿宋_GB2312"/>
                    </w:rPr>
                    <w:t>6</w:t>
                  </w:r>
                  <w:r>
                    <w:rPr>
                      <w:rFonts w:hint="eastAsia" w:ascii="仿宋_GB2312" w:eastAsia="仿宋_GB2312"/>
                    </w:rPr>
                    <w:t>、硬盘：1T M.2 NVME SSD</w:t>
                  </w:r>
                </w:p>
                <w:p w14:paraId="2B262E1B">
                  <w:pPr>
                    <w:adjustRightInd w:val="0"/>
                    <w:snapToGrid w:val="0"/>
                    <w:spacing w:line="240" w:lineRule="atLeast"/>
                    <w:rPr>
                      <w:rFonts w:hint="eastAsia" w:ascii="仿宋_GB2312" w:eastAsia="仿宋_GB2312"/>
                    </w:rPr>
                  </w:pPr>
                  <w:r>
                    <w:rPr>
                      <w:rFonts w:ascii="仿宋_GB2312" w:eastAsia="仿宋_GB2312"/>
                    </w:rPr>
                    <w:t>7</w:t>
                  </w:r>
                  <w:r>
                    <w:rPr>
                      <w:rFonts w:hint="eastAsia" w:ascii="仿宋_GB2312" w:eastAsia="仿宋_GB2312"/>
                    </w:rPr>
                    <w:t>、网卡：1000M以太网卡</w:t>
                  </w:r>
                </w:p>
                <w:p w14:paraId="00A0CD01">
                  <w:pPr>
                    <w:adjustRightInd w:val="0"/>
                    <w:snapToGrid w:val="0"/>
                    <w:spacing w:line="240" w:lineRule="atLeast"/>
                    <w:rPr>
                      <w:rFonts w:hint="eastAsia" w:ascii="仿宋_GB2312" w:eastAsia="仿宋_GB2312"/>
                    </w:rPr>
                  </w:pPr>
                  <w:r>
                    <w:rPr>
                      <w:rFonts w:ascii="仿宋_GB2312" w:eastAsia="仿宋_GB2312"/>
                    </w:rPr>
                    <w:t>8</w:t>
                  </w:r>
                  <w:r>
                    <w:rPr>
                      <w:rFonts w:hint="eastAsia" w:ascii="仿宋_GB2312" w:eastAsia="仿宋_GB2312"/>
                    </w:rPr>
                    <w:t>、键盘、鼠标：原厂防水键盘、抗菌鼠标；</w:t>
                  </w:r>
                </w:p>
                <w:p w14:paraId="6849355E">
                  <w:pPr>
                    <w:adjustRightInd w:val="0"/>
                    <w:snapToGrid w:val="0"/>
                    <w:spacing w:line="240" w:lineRule="atLeast"/>
                    <w:rPr>
                      <w:rFonts w:hint="eastAsia" w:ascii="仿宋_GB2312" w:eastAsia="仿宋_GB2312"/>
                    </w:rPr>
                  </w:pPr>
                  <w:r>
                    <w:rPr>
                      <w:rFonts w:ascii="仿宋_GB2312" w:eastAsia="仿宋_GB2312"/>
                    </w:rPr>
                    <w:t>9</w:t>
                  </w:r>
                  <w:r>
                    <w:rPr>
                      <w:rFonts w:hint="eastAsia" w:ascii="仿宋_GB2312" w:eastAsia="仿宋_GB2312"/>
                    </w:rPr>
                    <w:t>、USB接口：9个USB 3.2接口(前置1个TYPE-C接口)</w:t>
                  </w:r>
                </w:p>
                <w:p w14:paraId="1A107BA9">
                  <w:pPr>
                    <w:adjustRightInd w:val="0"/>
                    <w:snapToGrid w:val="0"/>
                    <w:spacing w:line="240" w:lineRule="atLeast"/>
                    <w:rPr>
                      <w:rFonts w:hint="eastAsia" w:ascii="仿宋_GB2312" w:eastAsia="仿宋_GB2312"/>
                    </w:rPr>
                  </w:pPr>
                  <w:r>
                    <w:rPr>
                      <w:rFonts w:hint="eastAsia" w:ascii="仿宋_GB2312" w:eastAsia="仿宋_GB2312"/>
                    </w:rPr>
                    <w:t>1</w:t>
                  </w:r>
                  <w:r>
                    <w:rPr>
                      <w:rFonts w:ascii="仿宋_GB2312" w:eastAsia="仿宋_GB2312"/>
                    </w:rPr>
                    <w:t>0</w:t>
                  </w:r>
                  <w:r>
                    <w:rPr>
                      <w:rFonts w:hint="eastAsia" w:ascii="仿宋_GB2312" w:eastAsia="仿宋_GB2312"/>
                    </w:rPr>
                    <w:t>、其它接口：主板集成1个VGA接口，1个HDMI接口，1个DP接口，标配双PS/2接口</w:t>
                  </w:r>
                </w:p>
                <w:p w14:paraId="664C04C3">
                  <w:pPr>
                    <w:adjustRightInd w:val="0"/>
                    <w:snapToGrid w:val="0"/>
                    <w:spacing w:line="240" w:lineRule="atLeast"/>
                    <w:rPr>
                      <w:rFonts w:hint="eastAsia" w:ascii="仿宋_GB2312" w:eastAsia="仿宋_GB2312"/>
                    </w:rPr>
                  </w:pPr>
                  <w:r>
                    <w:rPr>
                      <w:rFonts w:hint="eastAsia" w:ascii="仿宋_GB2312" w:eastAsia="仿宋_GB2312"/>
                    </w:rPr>
                    <w:t>1</w:t>
                  </w:r>
                  <w:r>
                    <w:rPr>
                      <w:rFonts w:ascii="仿宋_GB2312" w:eastAsia="仿宋_GB2312"/>
                    </w:rPr>
                    <w:t>1</w:t>
                  </w:r>
                  <w:r>
                    <w:rPr>
                      <w:rFonts w:hint="eastAsia" w:ascii="仿宋_GB2312" w:eastAsia="仿宋_GB2312"/>
                    </w:rPr>
                    <w:t>、插槽：4个PCIe插槽(2个PCIe x16插槽)、3个PCIe M.2接口</w:t>
                  </w:r>
                </w:p>
                <w:p w14:paraId="3FE983AC">
                  <w:pPr>
                    <w:adjustRightInd w:val="0"/>
                    <w:snapToGrid w:val="0"/>
                    <w:spacing w:line="240" w:lineRule="atLeast"/>
                    <w:rPr>
                      <w:rFonts w:hint="eastAsia" w:ascii="仿宋_GB2312" w:eastAsia="仿宋_GB2312"/>
                    </w:rPr>
                  </w:pPr>
                  <w:r>
                    <w:rPr>
                      <w:rFonts w:hint="eastAsia" w:ascii="仿宋_GB2312" w:eastAsia="仿宋_GB2312"/>
                    </w:rPr>
                    <w:t>1</w:t>
                  </w:r>
                  <w:r>
                    <w:rPr>
                      <w:rFonts w:ascii="仿宋_GB2312" w:eastAsia="仿宋_GB2312"/>
                    </w:rPr>
                    <w:t>2</w:t>
                  </w:r>
                  <w:r>
                    <w:rPr>
                      <w:rFonts w:hint="eastAsia" w:ascii="仿宋_GB2312" w:eastAsia="仿宋_GB2312"/>
                    </w:rPr>
                    <w:t>、电源：500W 92%</w:t>
                  </w:r>
                </w:p>
                <w:p w14:paraId="4AAF6A36">
                  <w:pPr>
                    <w:adjustRightInd w:val="0"/>
                    <w:snapToGrid w:val="0"/>
                    <w:spacing w:line="240" w:lineRule="atLeast"/>
                    <w:rPr>
                      <w:rFonts w:hint="eastAsia" w:ascii="仿宋_GB2312" w:eastAsia="仿宋_GB2312"/>
                    </w:rPr>
                  </w:pPr>
                  <w:r>
                    <w:rPr>
                      <w:rFonts w:hint="eastAsia" w:ascii="仿宋_GB2312" w:eastAsia="仿宋_GB2312"/>
                    </w:rPr>
                    <w:t>1</w:t>
                  </w:r>
                  <w:r>
                    <w:rPr>
                      <w:rFonts w:ascii="仿宋_GB2312" w:eastAsia="仿宋_GB2312"/>
                    </w:rPr>
                    <w:t>3</w:t>
                  </w:r>
                  <w:r>
                    <w:rPr>
                      <w:rFonts w:hint="eastAsia" w:ascii="仿宋_GB2312" w:eastAsia="仿宋_GB2312"/>
                    </w:rPr>
                    <w:t xml:space="preserve">、操作系统：预装Windows 正版Home操作系统 </w:t>
                  </w:r>
                </w:p>
                <w:p w14:paraId="65888342">
                  <w:pPr>
                    <w:adjustRightInd w:val="0"/>
                    <w:snapToGrid w:val="0"/>
                    <w:spacing w:line="240" w:lineRule="atLeast"/>
                    <w:rPr>
                      <w:rFonts w:hint="eastAsia" w:ascii="仿宋_GB2312" w:eastAsia="仿宋_GB2312"/>
                    </w:rPr>
                  </w:pPr>
                  <w:r>
                    <w:rPr>
                      <w:rFonts w:hint="eastAsia" w:ascii="仿宋_GB2312" w:eastAsia="仿宋_GB2312"/>
                    </w:rPr>
                    <w:t>1</w:t>
                  </w:r>
                  <w:r>
                    <w:rPr>
                      <w:rFonts w:ascii="仿宋_GB2312" w:eastAsia="仿宋_GB2312"/>
                    </w:rPr>
                    <w:t>4</w:t>
                  </w:r>
                  <w:r>
                    <w:rPr>
                      <w:rFonts w:hint="eastAsia" w:ascii="仿宋_GB2312" w:eastAsia="仿宋_GB2312"/>
                    </w:rPr>
                    <w:t>、安全：BIOS级别USB端口单独开关，智能USB数据保护(可设置仅识别鼠标键盘，不识别USB存储设备)</w:t>
                  </w:r>
                </w:p>
                <w:p w14:paraId="5D4CE86A">
                  <w:pPr>
                    <w:adjustRightInd w:val="0"/>
                    <w:snapToGrid w:val="0"/>
                    <w:spacing w:line="240" w:lineRule="atLeast"/>
                    <w:rPr>
                      <w:rFonts w:hint="eastAsia" w:ascii="仿宋_GB2312" w:eastAsia="仿宋_GB2312"/>
                    </w:rPr>
                  </w:pPr>
                  <w:r>
                    <w:rPr>
                      <w:rFonts w:hint="eastAsia" w:ascii="仿宋_GB2312" w:eastAsia="仿宋_GB2312"/>
                    </w:rPr>
                    <w:t>1</w:t>
                  </w:r>
                  <w:r>
                    <w:rPr>
                      <w:rFonts w:ascii="仿宋_GB2312" w:eastAsia="仿宋_GB2312"/>
                    </w:rPr>
                    <w:t>5</w:t>
                  </w:r>
                  <w:r>
                    <w:rPr>
                      <w:rFonts w:hint="eastAsia" w:ascii="仿宋_GB2312" w:eastAsia="仿宋_GB2312"/>
                    </w:rPr>
                    <w:t>、机箱：塔式标准机箱17L</w:t>
                  </w:r>
                </w:p>
                <w:p w14:paraId="1F17ED59">
                  <w:pPr>
                    <w:adjustRightInd w:val="0"/>
                    <w:snapToGrid w:val="0"/>
                    <w:spacing w:line="240" w:lineRule="atLeast"/>
                    <w:rPr>
                      <w:rFonts w:hint="eastAsia" w:ascii="仿宋_GB2312" w:eastAsia="仿宋_GB2312"/>
                    </w:rPr>
                  </w:pPr>
                  <w:r>
                    <w:rPr>
                      <w:rFonts w:hint="eastAsia" w:ascii="仿宋_GB2312" w:eastAsia="仿宋_GB2312"/>
                    </w:rPr>
                    <w:t>1</w:t>
                  </w:r>
                  <w:r>
                    <w:rPr>
                      <w:rFonts w:ascii="仿宋_GB2312" w:eastAsia="仿宋_GB2312"/>
                    </w:rPr>
                    <w:t>6</w:t>
                  </w:r>
                  <w:r>
                    <w:rPr>
                      <w:rFonts w:hint="eastAsia" w:ascii="仿宋_GB2312" w:eastAsia="仿宋_GB2312"/>
                    </w:rPr>
                    <w:t>、显示器： 27英寸液晶显示器，分辨率1920*1080，与主机同品牌</w:t>
                  </w:r>
                </w:p>
                <w:p w14:paraId="5377345F">
                  <w:pPr>
                    <w:adjustRightInd w:val="0"/>
                    <w:snapToGrid w:val="0"/>
                    <w:spacing w:line="240" w:lineRule="atLeast"/>
                    <w:rPr>
                      <w:rFonts w:hint="eastAsia" w:ascii="仿宋_GB2312" w:eastAsia="仿宋_GB2312"/>
                    </w:rPr>
                  </w:pPr>
                  <w:r>
                    <w:rPr>
                      <w:rFonts w:hint="eastAsia" w:ascii="仿宋_GB2312" w:eastAsia="仿宋_GB2312"/>
                    </w:rPr>
                    <w:t>1</w:t>
                  </w:r>
                  <w:r>
                    <w:rPr>
                      <w:rFonts w:ascii="仿宋_GB2312" w:eastAsia="仿宋_GB2312"/>
                    </w:rPr>
                    <w:t>7</w:t>
                  </w:r>
                  <w:r>
                    <w:rPr>
                      <w:rFonts w:hint="eastAsia" w:ascii="仿宋_GB2312" w:eastAsia="仿宋_GB2312"/>
                    </w:rPr>
                    <w:t>、其它功能：</w:t>
                  </w:r>
                </w:p>
                <w:p w14:paraId="1F40643E">
                  <w:pPr>
                    <w:adjustRightInd w:val="0"/>
                    <w:snapToGrid w:val="0"/>
                    <w:spacing w:line="240" w:lineRule="atLeast"/>
                    <w:rPr>
                      <w:rFonts w:ascii="仿宋_GB2312" w:eastAsia="仿宋_GB2312"/>
                    </w:rPr>
                  </w:pPr>
                  <w:r>
                    <w:rPr>
                      <w:rFonts w:hint="eastAsia" w:ascii="仿宋_GB2312" w:eastAsia="仿宋_GB2312"/>
                      <w:lang w:val="en-US" w:eastAsia="zh-CN"/>
                    </w:rPr>
                    <w:t>1</w:t>
                  </w:r>
                  <w:r>
                    <w:rPr>
                      <w:rFonts w:ascii="仿宋_GB2312" w:eastAsia="仿宋_GB2312"/>
                    </w:rPr>
                    <w:t>7</w:t>
                  </w:r>
                  <w:r>
                    <w:rPr>
                      <w:rFonts w:hint="eastAsia" w:ascii="仿宋_GB2312" w:eastAsia="仿宋_GB2312"/>
                    </w:rPr>
                    <w:t>.1.云桌面支持Legacy与UEFI两种方式启动系统，支持管理双网卡、双硬盘，支持NVME、M.2新型高速固态硬盘，同时兼容新老机型部署。</w:t>
                  </w:r>
                </w:p>
                <w:p w14:paraId="4DA8FCA6">
                  <w:pPr>
                    <w:adjustRightInd w:val="0"/>
                    <w:snapToGrid w:val="0"/>
                    <w:spacing w:line="240" w:lineRule="atLeast"/>
                    <w:rPr>
                      <w:rFonts w:ascii="仿宋_GB2312" w:eastAsia="仿宋_GB2312"/>
                    </w:rPr>
                  </w:pPr>
                  <w:r>
                    <w:rPr>
                      <w:rFonts w:hint="eastAsia" w:ascii="仿宋_GB2312" w:eastAsia="仿宋_GB2312"/>
                    </w:rPr>
                    <w:t>1</w:t>
                  </w:r>
                  <w:r>
                    <w:rPr>
                      <w:rFonts w:ascii="仿宋_GB2312" w:eastAsia="仿宋_GB2312"/>
                    </w:rPr>
                    <w:t>7</w:t>
                  </w:r>
                  <w:r>
                    <w:rPr>
                      <w:rFonts w:hint="eastAsia" w:ascii="仿宋_GB2312" w:eastAsia="仿宋_GB2312"/>
                    </w:rPr>
                    <w:t>.2.硬件资产管理：即可收集平台中所有终端硬件配置信息，包含但不限于终端名称、主板型号、CPU型号、内存容量、最近运行时间、合计运行时间、硬件变更和记录信息等。</w:t>
                  </w:r>
                </w:p>
                <w:p w14:paraId="7E5F514A">
                  <w:pPr>
                    <w:adjustRightInd w:val="0"/>
                    <w:snapToGrid w:val="0"/>
                    <w:spacing w:line="240" w:lineRule="atLeast"/>
                    <w:rPr>
                      <w:rFonts w:ascii="仿宋_GB2312" w:eastAsia="仿宋_GB2312"/>
                    </w:rPr>
                  </w:pPr>
                  <w:r>
                    <w:rPr>
                      <w:rFonts w:hint="eastAsia" w:ascii="仿宋_GB2312" w:eastAsia="仿宋_GB2312"/>
                    </w:rPr>
                    <w:t>1</w:t>
                  </w:r>
                  <w:r>
                    <w:rPr>
                      <w:rFonts w:ascii="仿宋_GB2312" w:eastAsia="仿宋_GB2312"/>
                    </w:rPr>
                    <w:t>7</w:t>
                  </w:r>
                  <w:r>
                    <w:rPr>
                      <w:rFonts w:hint="eastAsia" w:ascii="仿宋_GB2312" w:eastAsia="仿宋_GB2312"/>
                    </w:rPr>
                    <w:t>.3.软件资产管理，支持收集平台中所有终端的软件信息，包含但不限于程序名称、运行次数、运行时长、版本、程序大小等。</w:t>
                  </w:r>
                </w:p>
                <w:p w14:paraId="06DB9E2D">
                  <w:pPr>
                    <w:adjustRightInd w:val="0"/>
                    <w:snapToGrid w:val="0"/>
                    <w:spacing w:line="240" w:lineRule="atLeast"/>
                    <w:rPr>
                      <w:rFonts w:hint="eastAsia" w:ascii="仿宋_GB2312" w:eastAsia="仿宋_GB2312"/>
                    </w:rPr>
                  </w:pPr>
                  <w:r>
                    <w:rPr>
                      <w:rFonts w:hint="eastAsia" w:ascii="仿宋_GB2312" w:eastAsia="仿宋_GB2312"/>
                    </w:rPr>
                    <w:t>1</w:t>
                  </w:r>
                  <w:r>
                    <w:rPr>
                      <w:rFonts w:ascii="仿宋_GB2312" w:eastAsia="仿宋_GB2312"/>
                    </w:rPr>
                    <w:t>7</w:t>
                  </w:r>
                  <w:r>
                    <w:rPr>
                      <w:rFonts w:hint="eastAsia" w:ascii="仿宋_GB2312" w:eastAsia="仿宋_GB2312"/>
                    </w:rPr>
                    <w:t>.4.支持大数据展示。可展示包括但不限于资产统计、设备详情、开关机对比、日志、系统使用情况等信息。</w:t>
                  </w:r>
                </w:p>
                <w:p w14:paraId="2C05CD1F">
                  <w:pPr>
                    <w:adjustRightInd w:val="0"/>
                    <w:snapToGrid w:val="0"/>
                    <w:spacing w:line="240" w:lineRule="atLeast"/>
                    <w:rPr>
                      <w:rFonts w:ascii="仿宋_GB2312" w:eastAsia="仿宋_GB2312"/>
                    </w:rPr>
                  </w:pPr>
                  <w:r>
                    <w:rPr>
                      <w:rFonts w:hint="eastAsia" w:ascii="仿宋_GB2312" w:eastAsia="仿宋_GB2312"/>
                    </w:rPr>
                    <w:t>1</w:t>
                  </w:r>
                  <w:r>
                    <w:rPr>
                      <w:rFonts w:ascii="仿宋_GB2312" w:eastAsia="仿宋_GB2312"/>
                    </w:rPr>
                    <w:t>7</w:t>
                  </w:r>
                  <w:r>
                    <w:rPr>
                      <w:rFonts w:hint="eastAsia" w:ascii="仿宋_GB2312" w:eastAsia="仿宋_GB2312"/>
                    </w:rPr>
                    <w:t>.5.终端支持多盘缓存模式，即在终端固态盘容量小导致无法多镜像缓存时，支持固态盘和机械盘混合缓存载入，充分利用终端现有存储资源。</w:t>
                  </w:r>
                </w:p>
                <w:p w14:paraId="75555450">
                  <w:pPr>
                    <w:adjustRightInd w:val="0"/>
                    <w:snapToGrid w:val="0"/>
                    <w:spacing w:line="240" w:lineRule="atLeast"/>
                    <w:rPr>
                      <w:rFonts w:ascii="仿宋_GB2312" w:eastAsia="仿宋_GB2312"/>
                    </w:rPr>
                  </w:pPr>
                  <w:r>
                    <w:rPr>
                      <w:rFonts w:hint="eastAsia" w:ascii="仿宋_GB2312" w:eastAsia="仿宋_GB2312"/>
                    </w:rPr>
                    <w:t>1</w:t>
                  </w:r>
                  <w:r>
                    <w:rPr>
                      <w:rFonts w:ascii="仿宋_GB2312" w:eastAsia="仿宋_GB2312"/>
                    </w:rPr>
                    <w:t>7</w:t>
                  </w:r>
                  <w:r>
                    <w:rPr>
                      <w:rFonts w:hint="eastAsia" w:ascii="仿宋_GB2312" w:eastAsia="仿宋_GB2312"/>
                    </w:rPr>
                    <w:t>.6.终端支持部署多操作系统：支持统信UOS、麒麟KOS、Linux、 Windows全系列，支持从管理端或客户端自主选择启动环境；且多个系统环境可快速切换。</w:t>
                  </w:r>
                </w:p>
                <w:p w14:paraId="1CAA8568">
                  <w:pPr>
                    <w:adjustRightInd w:val="0"/>
                    <w:snapToGrid w:val="0"/>
                    <w:spacing w:line="240" w:lineRule="atLeast"/>
                    <w:rPr>
                      <w:rFonts w:ascii="仿宋_GB2312" w:eastAsia="仿宋_GB2312"/>
                    </w:rPr>
                  </w:pPr>
                  <w:r>
                    <w:rPr>
                      <w:rFonts w:hint="eastAsia" w:ascii="仿宋_GB2312" w:eastAsia="仿宋_GB2312"/>
                    </w:rPr>
                    <w:t>1</w:t>
                  </w:r>
                  <w:r>
                    <w:rPr>
                      <w:rFonts w:ascii="仿宋_GB2312" w:eastAsia="仿宋_GB2312"/>
                    </w:rPr>
                    <w:t>7</w:t>
                  </w:r>
                  <w:r>
                    <w:rPr>
                      <w:rFonts w:hint="eastAsia" w:ascii="仿宋_GB2312" w:eastAsia="仿宋_GB2312"/>
                    </w:rPr>
                    <w:t>.7.支持镜像本地缓存：支持将服务器镜像文件缓存至本地硬盘，支持小容量固态硬盘以增量非分区的方式缓存5个镜像。</w:t>
                  </w:r>
                </w:p>
                <w:p w14:paraId="4A08277A">
                  <w:pPr>
                    <w:adjustRightInd w:val="0"/>
                    <w:snapToGrid w:val="0"/>
                    <w:spacing w:line="240" w:lineRule="atLeast"/>
                    <w:rPr>
                      <w:rFonts w:ascii="仿宋_GB2312" w:eastAsia="仿宋_GB2312"/>
                    </w:rPr>
                  </w:pPr>
                  <w:r>
                    <w:rPr>
                      <w:rFonts w:hint="eastAsia" w:ascii="仿宋_GB2312" w:eastAsia="仿宋_GB2312"/>
                    </w:rPr>
                    <w:t>1</w:t>
                  </w:r>
                  <w:r>
                    <w:rPr>
                      <w:rFonts w:ascii="仿宋_GB2312" w:eastAsia="仿宋_GB2312"/>
                    </w:rPr>
                    <w:t>7</w:t>
                  </w:r>
                  <w:r>
                    <w:rPr>
                      <w:rFonts w:hint="eastAsia" w:ascii="仿宋_GB2312" w:eastAsia="仿宋_GB2312"/>
                    </w:rPr>
                    <w:t>.8.支持对终端端口进行分类控制，包括但不限于控制所有 USB 存储接口、光盘驱动器接口、USB存储设备接口、打印机接口、1394接口、串并口接口、蓝牙驱动器接口等。</w:t>
                  </w:r>
                </w:p>
                <w:p w14:paraId="63B03F07">
                  <w:pPr>
                    <w:adjustRightInd w:val="0"/>
                    <w:snapToGrid w:val="0"/>
                    <w:spacing w:line="240" w:lineRule="atLeast"/>
                    <w:rPr>
                      <w:rFonts w:hint="eastAsia" w:ascii="仿宋_GB2312" w:eastAsia="仿宋_GB2312"/>
                    </w:rPr>
                  </w:pPr>
                  <w:r>
                    <w:rPr>
                      <w:rFonts w:hint="eastAsia" w:ascii="仿宋_GB2312" w:eastAsia="仿宋_GB2312"/>
                    </w:rPr>
                    <w:t>1</w:t>
                  </w:r>
                  <w:r>
                    <w:rPr>
                      <w:rFonts w:ascii="仿宋_GB2312" w:eastAsia="仿宋_GB2312"/>
                    </w:rPr>
                    <w:t>7</w:t>
                  </w:r>
                  <w:r>
                    <w:rPr>
                      <w:rFonts w:hint="eastAsia" w:ascii="仿宋_GB2312" w:eastAsia="仿宋_GB2312"/>
                    </w:rPr>
                    <w:t>.9.程序限制：为防止学生在教学过程中打游戏或使用QQ、MSN等聊天工具，支持通过各种策略限制学生使用程序。</w:t>
                  </w:r>
                </w:p>
                <w:p w14:paraId="55A36B49">
                  <w:pPr>
                    <w:widowControl/>
                    <w:jc w:val="left"/>
                    <w:textAlignment w:val="center"/>
                    <w:rPr>
                      <w:rFonts w:ascii="宋体" w:hAnsi="宋体" w:cs="Arial"/>
                      <w:kern w:val="0"/>
                      <w:szCs w:val="21"/>
                    </w:rPr>
                  </w:pPr>
                  <w:r>
                    <w:rPr>
                      <w:rFonts w:hint="eastAsia" w:ascii="仿宋_GB2312" w:eastAsia="仿宋_GB2312"/>
                    </w:rPr>
                    <w:t>1</w:t>
                  </w:r>
                  <w:r>
                    <w:rPr>
                      <w:rFonts w:ascii="仿宋_GB2312" w:eastAsia="仿宋_GB2312"/>
                    </w:rPr>
                    <w:t>7</w:t>
                  </w:r>
                  <w:r>
                    <w:rPr>
                      <w:rFonts w:hint="eastAsia" w:ascii="仿宋_GB2312" w:eastAsia="仿宋_GB2312"/>
                    </w:rPr>
                    <w:t>.10.远程设置：支持远程设置学生桌面主题、桌面背景、屏幕保护方案、学生的频道号和音量、学生端密码，是否启用进程保护，断线锁屏，热键退出等。</w:t>
                  </w:r>
                </w:p>
              </w:tc>
            </w:tr>
          </w:tbl>
          <w:p w14:paraId="764DF560">
            <w:pPr>
              <w:pStyle w:val="6"/>
              <w:widowControl/>
              <w:spacing w:beforeAutospacing="0" w:afterAutospacing="0"/>
              <w:rPr>
                <w:sz w:val="21"/>
                <w:szCs w:val="21"/>
              </w:rPr>
            </w:pPr>
          </w:p>
        </w:tc>
      </w:tr>
      <w:tr w14:paraId="4B869AB0">
        <w:tblPrEx>
          <w:tblCellMar>
            <w:top w:w="0" w:type="dxa"/>
            <w:left w:w="0" w:type="dxa"/>
            <w:bottom w:w="0" w:type="dxa"/>
            <w:right w:w="0" w:type="dxa"/>
          </w:tblCellMar>
        </w:tblPrEx>
        <w:trPr>
          <w:trHeight w:val="940" w:hRule="atLeast"/>
        </w:trPr>
        <w:tc>
          <w:tcPr>
            <w:tcW w:w="120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4543DE51">
            <w:pPr>
              <w:pStyle w:val="6"/>
              <w:widowControl/>
              <w:spacing w:beforeAutospacing="0" w:afterAutospacing="0"/>
              <w:jc w:val="center"/>
              <w:rPr>
                <w:rStyle w:val="10"/>
                <w:rFonts w:hint="eastAsia" w:ascii="宋体" w:hAnsi="宋体" w:cs="宋体"/>
                <w:bCs/>
                <w:sz w:val="21"/>
                <w:szCs w:val="21"/>
              </w:rPr>
            </w:pPr>
            <w:r>
              <w:rPr>
                <w:rStyle w:val="10"/>
                <w:rFonts w:hint="eastAsia" w:ascii="宋体" w:hAnsi="宋体" w:cs="宋体"/>
                <w:bCs/>
                <w:sz w:val="21"/>
                <w:szCs w:val="21"/>
              </w:rPr>
              <w:t>服务要求</w:t>
            </w:r>
          </w:p>
          <w:p w14:paraId="135DB0AC">
            <w:pPr>
              <w:pStyle w:val="6"/>
              <w:widowControl/>
              <w:spacing w:beforeAutospacing="0" w:afterAutospacing="0"/>
              <w:jc w:val="center"/>
              <w:rPr>
                <w:sz w:val="21"/>
                <w:szCs w:val="21"/>
              </w:rPr>
            </w:pPr>
            <w:bookmarkStart w:id="0" w:name="_GoBack"/>
            <w:bookmarkEnd w:id="0"/>
          </w:p>
        </w:tc>
        <w:tc>
          <w:tcPr>
            <w:tcW w:w="782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3EF4C4FA">
            <w:pPr>
              <w:pStyle w:val="6"/>
              <w:widowControl/>
              <w:spacing w:beforeAutospacing="0" w:afterAutospacing="0"/>
              <w:ind w:firstLine="422" w:firstLineChars="200"/>
              <w:rPr>
                <w:rFonts w:hint="eastAsia" w:ascii="宋体" w:hAnsi="宋体" w:cs="宋体"/>
                <w:b/>
                <w:bCs/>
                <w:sz w:val="21"/>
                <w:szCs w:val="21"/>
              </w:rPr>
            </w:pPr>
            <w:r>
              <w:rPr>
                <w:rFonts w:hint="eastAsia" w:ascii="宋体" w:hAnsi="宋体" w:cs="宋体"/>
                <w:b/>
                <w:bCs/>
                <w:sz w:val="21"/>
                <w:szCs w:val="21"/>
              </w:rPr>
              <w:t>1.</w:t>
            </w:r>
            <w:r>
              <w:rPr>
                <w:rStyle w:val="10"/>
                <w:rFonts w:hint="eastAsia" w:ascii="宋体" w:hAnsi="宋体" w:cs="宋体"/>
                <w:bCs/>
                <w:sz w:val="21"/>
                <w:szCs w:val="21"/>
              </w:rPr>
              <w:t>交货期</w:t>
            </w:r>
            <w:r>
              <w:rPr>
                <w:rFonts w:hint="eastAsia" w:ascii="宋体" w:hAnsi="宋体" w:cs="宋体"/>
                <w:sz w:val="21"/>
                <w:szCs w:val="21"/>
              </w:rPr>
              <w:t xml:space="preserve">：合同签订之日起 </w:t>
            </w:r>
            <w:r>
              <w:rPr>
                <w:rFonts w:ascii="宋体" w:hAnsi="宋体" w:cs="宋体"/>
                <w:sz w:val="21"/>
                <w:szCs w:val="21"/>
              </w:rPr>
              <w:t>30</w:t>
            </w:r>
            <w:r>
              <w:rPr>
                <w:rFonts w:hint="eastAsia" w:ascii="宋体" w:hAnsi="宋体" w:cs="宋体"/>
                <w:sz w:val="21"/>
                <w:szCs w:val="21"/>
              </w:rPr>
              <w:t xml:space="preserve"> 个日历日内将货物运抵采购人指定地点。</w:t>
            </w:r>
          </w:p>
          <w:p w14:paraId="05398695">
            <w:pPr>
              <w:pStyle w:val="6"/>
              <w:widowControl/>
              <w:spacing w:beforeAutospacing="0" w:afterAutospacing="0"/>
              <w:ind w:firstLine="422" w:firstLineChars="200"/>
              <w:rPr>
                <w:sz w:val="21"/>
                <w:szCs w:val="21"/>
              </w:rPr>
            </w:pPr>
            <w:r>
              <w:rPr>
                <w:rFonts w:hint="eastAsia" w:ascii="宋体" w:hAnsi="宋体" w:cs="宋体"/>
                <w:b/>
                <w:bCs/>
                <w:sz w:val="21"/>
                <w:szCs w:val="21"/>
              </w:rPr>
              <w:t>2.</w:t>
            </w:r>
            <w:r>
              <w:rPr>
                <w:rStyle w:val="10"/>
                <w:rFonts w:hint="eastAsia" w:ascii="宋体" w:hAnsi="宋体" w:cs="宋体"/>
                <w:bCs/>
                <w:sz w:val="21"/>
                <w:szCs w:val="21"/>
              </w:rPr>
              <w:t>交货地点</w:t>
            </w:r>
            <w:r>
              <w:rPr>
                <w:rFonts w:hint="eastAsia" w:ascii="宋体" w:hAnsi="宋体" w:cs="宋体"/>
                <w:sz w:val="21"/>
                <w:szCs w:val="21"/>
              </w:rPr>
              <w:t>：深圳市龙岗区五联社区将军帽路1号深圳技师学院。中标后由中标供应商送货至指定地址并进行安装调试，不接受快递物流送货</w:t>
            </w:r>
          </w:p>
          <w:p w14:paraId="4CF3E7F0">
            <w:pPr>
              <w:pStyle w:val="6"/>
              <w:widowControl/>
              <w:spacing w:beforeAutospacing="0" w:afterAutospacing="0"/>
              <w:ind w:firstLine="422" w:firstLineChars="200"/>
              <w:rPr>
                <w:rFonts w:hint="eastAsia"/>
                <w:sz w:val="21"/>
                <w:szCs w:val="21"/>
              </w:rPr>
            </w:pPr>
            <w:r>
              <w:rPr>
                <w:rFonts w:hint="eastAsia" w:ascii="宋体" w:hAnsi="宋体" w:cs="宋体"/>
                <w:b/>
                <w:bCs/>
                <w:sz w:val="21"/>
                <w:szCs w:val="21"/>
              </w:rPr>
              <w:t>3.</w:t>
            </w:r>
            <w:r>
              <w:rPr>
                <w:rStyle w:val="10"/>
                <w:rFonts w:hint="eastAsia" w:ascii="宋体" w:hAnsi="宋体" w:cs="宋体"/>
                <w:bCs/>
                <w:sz w:val="21"/>
                <w:szCs w:val="21"/>
              </w:rPr>
              <w:t>付款方式：</w:t>
            </w:r>
            <w:r>
              <w:rPr>
                <w:rFonts w:hint="eastAsia" w:ascii="宋体" w:hAnsi="宋体" w:cs="宋体"/>
                <w:sz w:val="21"/>
                <w:szCs w:val="21"/>
              </w:rPr>
              <w:t>设备交付后，需等采购人安排安装，中标人负责安排人员到现场安装，调试合格并通过采购人整体项目验收后，一次性支付合同款项。</w:t>
            </w:r>
          </w:p>
          <w:p w14:paraId="1048083A">
            <w:pPr>
              <w:pStyle w:val="6"/>
              <w:widowControl/>
              <w:spacing w:beforeAutospacing="0" w:afterAutospacing="0"/>
              <w:ind w:firstLine="422" w:firstLineChars="200"/>
              <w:rPr>
                <w:sz w:val="21"/>
                <w:szCs w:val="21"/>
              </w:rPr>
            </w:pPr>
            <w:r>
              <w:rPr>
                <w:rFonts w:hint="eastAsia" w:ascii="宋体" w:hAnsi="宋体" w:cs="宋体"/>
                <w:b/>
                <w:bCs/>
                <w:sz w:val="21"/>
                <w:szCs w:val="21"/>
              </w:rPr>
              <w:t>4.</w:t>
            </w:r>
            <w:r>
              <w:rPr>
                <w:rStyle w:val="10"/>
                <w:rFonts w:hint="eastAsia" w:ascii="宋体" w:hAnsi="宋体" w:cs="宋体"/>
                <w:bCs/>
                <w:sz w:val="21"/>
                <w:szCs w:val="21"/>
              </w:rPr>
              <w:t>通用售后服务的要求：</w:t>
            </w:r>
          </w:p>
          <w:p w14:paraId="02407399">
            <w:pPr>
              <w:pStyle w:val="6"/>
              <w:widowControl/>
              <w:spacing w:beforeAutospacing="0" w:afterAutospacing="0"/>
              <w:ind w:left="280"/>
              <w:rPr>
                <w:sz w:val="21"/>
                <w:szCs w:val="21"/>
              </w:rPr>
            </w:pPr>
            <w:r>
              <w:rPr>
                <w:rFonts w:hint="eastAsia" w:ascii="宋体" w:hAnsi="宋体" w:cs="宋体"/>
                <w:sz w:val="21"/>
                <w:szCs w:val="21"/>
              </w:rPr>
              <w:t>（</w:t>
            </w:r>
            <w:r>
              <w:rPr>
                <w:rFonts w:ascii="宋体" w:hAnsi="宋体" w:cs="宋体"/>
                <w:sz w:val="21"/>
                <w:szCs w:val="21"/>
              </w:rPr>
              <w:t>1）</w:t>
            </w:r>
            <w:r>
              <w:rPr>
                <w:rFonts w:hint="eastAsia" w:ascii="宋体" w:hAnsi="宋体" w:cs="宋体"/>
                <w:sz w:val="21"/>
                <w:szCs w:val="21"/>
              </w:rPr>
              <w:t>交货产品必须为原厂整机，原包装完整未拆封。</w:t>
            </w:r>
            <w:r>
              <w:rPr>
                <w:rFonts w:ascii="宋体" w:hAnsi="宋体" w:cs="宋体"/>
                <w:sz w:val="21"/>
                <w:szCs w:val="21"/>
              </w:rPr>
              <w:t>厂家三包服务，质保期及其他</w:t>
            </w:r>
            <w:r>
              <w:rPr>
                <w:rFonts w:hint="eastAsia" w:ascii="宋体" w:hAnsi="宋体" w:cs="宋体"/>
                <w:sz w:val="21"/>
                <w:szCs w:val="21"/>
              </w:rPr>
              <w:t>售后服务标准与产品出厂市场标准服务须一致。</w:t>
            </w:r>
          </w:p>
          <w:p w14:paraId="77C41E93">
            <w:pPr>
              <w:pStyle w:val="6"/>
              <w:widowControl/>
              <w:spacing w:beforeAutospacing="0" w:afterAutospacing="0"/>
              <w:ind w:left="280"/>
              <w:rPr>
                <w:sz w:val="21"/>
                <w:szCs w:val="21"/>
              </w:rPr>
            </w:pPr>
            <w:r>
              <w:rPr>
                <w:rFonts w:hint="eastAsia" w:ascii="宋体" w:hAnsi="宋体" w:cs="宋体"/>
                <w:sz w:val="21"/>
                <w:szCs w:val="21"/>
              </w:rPr>
              <w:t>（</w:t>
            </w:r>
            <w:r>
              <w:rPr>
                <w:rFonts w:ascii="宋体" w:hAnsi="宋体" w:cs="宋体"/>
                <w:sz w:val="21"/>
                <w:szCs w:val="21"/>
              </w:rPr>
              <w:t>2）故障响应时间：</w:t>
            </w:r>
            <w:r>
              <w:rPr>
                <w:rFonts w:hint="eastAsia" w:ascii="宋体" w:hAnsi="宋体" w:cs="宋体"/>
                <w:sz w:val="21"/>
                <w:szCs w:val="21"/>
              </w:rPr>
              <w:t>48小时内。电话技术支持7*24小时响应，5X9第2个工作日上门服务，质保期</w:t>
            </w:r>
            <w:r>
              <w:rPr>
                <w:rFonts w:hint="eastAsia" w:ascii="宋体" w:hAnsi="宋体" w:cs="宋体"/>
                <w:sz w:val="21"/>
                <w:szCs w:val="21"/>
                <w:u w:val="single"/>
              </w:rPr>
              <w:t xml:space="preserve"> </w:t>
            </w:r>
            <w:r>
              <w:rPr>
                <w:rFonts w:ascii="宋体" w:hAnsi="宋体" w:cs="宋体"/>
                <w:sz w:val="21"/>
                <w:szCs w:val="21"/>
                <w:u w:val="single"/>
              </w:rPr>
              <w:t>6</w:t>
            </w:r>
            <w:r>
              <w:rPr>
                <w:rFonts w:hint="eastAsia" w:ascii="宋体" w:hAnsi="宋体" w:cs="宋体"/>
                <w:sz w:val="21"/>
                <w:szCs w:val="21"/>
                <w:u w:val="single"/>
              </w:rPr>
              <w:t xml:space="preserve"> </w:t>
            </w:r>
            <w:r>
              <w:rPr>
                <w:rFonts w:hint="eastAsia" w:ascii="宋体" w:hAnsi="宋体" w:cs="宋体"/>
                <w:sz w:val="21"/>
                <w:szCs w:val="21"/>
              </w:rPr>
              <w:t>年，终生维护。特殊硬件故障厂家安排人员于48小时内带配件现场解决。</w:t>
            </w:r>
          </w:p>
          <w:p w14:paraId="2DB8D718">
            <w:pPr>
              <w:pStyle w:val="6"/>
              <w:widowControl/>
              <w:spacing w:beforeAutospacing="0" w:afterAutospacing="0"/>
              <w:ind w:left="280"/>
              <w:rPr>
                <w:sz w:val="21"/>
                <w:szCs w:val="21"/>
              </w:rPr>
            </w:pPr>
            <w:r>
              <w:rPr>
                <w:rFonts w:hint="eastAsia" w:ascii="宋体" w:hAnsi="宋体" w:cs="宋体"/>
                <w:sz w:val="21"/>
                <w:szCs w:val="21"/>
              </w:rPr>
              <w:t>（</w:t>
            </w:r>
            <w:r>
              <w:rPr>
                <w:rFonts w:ascii="宋体" w:hAnsi="宋体" w:cs="宋体"/>
                <w:sz w:val="21"/>
                <w:szCs w:val="21"/>
              </w:rPr>
              <w:t>3）</w:t>
            </w:r>
            <w:r>
              <w:rPr>
                <w:rFonts w:hint="eastAsia"/>
                <w:sz w:val="21"/>
                <w:szCs w:val="21"/>
              </w:rPr>
              <w:t>提供</w:t>
            </w:r>
            <w:r>
              <w:rPr>
                <w:rFonts w:hint="eastAsia"/>
                <w:sz w:val="21"/>
                <w:szCs w:val="21"/>
                <w:u w:val="single"/>
              </w:rPr>
              <w:t xml:space="preserve"> </w:t>
            </w:r>
            <w:r>
              <w:rPr>
                <w:sz w:val="21"/>
                <w:szCs w:val="21"/>
                <w:u w:val="single"/>
              </w:rPr>
              <w:t>6</w:t>
            </w:r>
            <w:r>
              <w:rPr>
                <w:rFonts w:hint="eastAsia"/>
                <w:sz w:val="21"/>
                <w:szCs w:val="21"/>
              </w:rPr>
              <w:t xml:space="preserve"> 年原厂保修服务</w:t>
            </w:r>
            <w:r>
              <w:rPr>
                <w:rFonts w:hint="eastAsia" w:ascii="宋体" w:hAnsi="宋体" w:cs="宋体"/>
                <w:sz w:val="21"/>
                <w:szCs w:val="21"/>
              </w:rPr>
              <w:t>。厂家必须提供完整的售后服务保障。</w:t>
            </w:r>
          </w:p>
          <w:p w14:paraId="4AC2CA21">
            <w:pPr>
              <w:pStyle w:val="6"/>
              <w:widowControl/>
              <w:spacing w:beforeAutospacing="0" w:afterAutospacing="0"/>
              <w:ind w:firstLine="422" w:firstLineChars="200"/>
              <w:rPr>
                <w:rFonts w:hint="eastAsia"/>
                <w:sz w:val="21"/>
                <w:szCs w:val="21"/>
              </w:rPr>
            </w:pPr>
            <w:r>
              <w:rPr>
                <w:rFonts w:hint="eastAsia" w:ascii="宋体" w:hAnsi="宋体" w:cs="宋体"/>
                <w:b/>
                <w:bCs/>
                <w:sz w:val="21"/>
                <w:szCs w:val="21"/>
              </w:rPr>
              <w:t>5.</w:t>
            </w:r>
            <w:r>
              <w:rPr>
                <w:rStyle w:val="10"/>
                <w:rFonts w:hint="eastAsia" w:ascii="宋体" w:hAnsi="宋体" w:cs="宋体"/>
                <w:bCs/>
                <w:sz w:val="21"/>
                <w:szCs w:val="21"/>
              </w:rPr>
              <w:t>安装调试：</w:t>
            </w:r>
          </w:p>
          <w:p w14:paraId="1A90A363">
            <w:pPr>
              <w:pStyle w:val="6"/>
              <w:widowControl/>
              <w:spacing w:beforeAutospacing="0" w:afterAutospacing="0"/>
              <w:ind w:firstLine="420" w:firstLineChars="200"/>
              <w:rPr>
                <w:sz w:val="21"/>
                <w:szCs w:val="21"/>
              </w:rPr>
            </w:pPr>
            <w:r>
              <w:rPr>
                <w:rFonts w:hint="eastAsia" w:ascii="宋体" w:hAnsi="宋体" w:cs="宋体"/>
                <w:sz w:val="21"/>
                <w:szCs w:val="21"/>
              </w:rPr>
              <w:sym w:font="Wingdings" w:char="00FE"/>
            </w:r>
            <w:r>
              <w:rPr>
                <w:rFonts w:hint="eastAsia" w:ascii="宋体" w:hAnsi="宋体" w:cs="宋体"/>
                <w:sz w:val="21"/>
                <w:szCs w:val="21"/>
              </w:rPr>
              <w:t>供应商应派有经验的技术人员到现场进行指导安装、调试，直到设备正常使用。</w:t>
            </w:r>
          </w:p>
          <w:p w14:paraId="47A5CA62">
            <w:pPr>
              <w:pStyle w:val="6"/>
              <w:widowControl/>
              <w:spacing w:beforeAutospacing="0" w:afterAutospacing="0"/>
              <w:ind w:firstLine="420" w:firstLineChars="200"/>
              <w:rPr>
                <w:sz w:val="21"/>
                <w:szCs w:val="21"/>
              </w:rPr>
            </w:pPr>
            <w:r>
              <w:rPr>
                <w:rFonts w:hint="eastAsia" w:ascii="宋体" w:hAnsi="宋体" w:cs="宋体"/>
                <w:sz w:val="21"/>
                <w:szCs w:val="21"/>
              </w:rPr>
              <w:t>□自定：</w:t>
            </w:r>
          </w:p>
          <w:p w14:paraId="4219B9AF">
            <w:pPr>
              <w:pStyle w:val="6"/>
              <w:widowControl/>
              <w:spacing w:beforeAutospacing="0" w:afterAutospacing="0"/>
              <w:ind w:firstLine="422" w:firstLineChars="200"/>
              <w:rPr>
                <w:sz w:val="21"/>
                <w:szCs w:val="21"/>
              </w:rPr>
            </w:pPr>
            <w:r>
              <w:rPr>
                <w:rFonts w:hint="eastAsia" w:ascii="宋体" w:hAnsi="宋体" w:cs="宋体"/>
                <w:b/>
                <w:bCs/>
                <w:sz w:val="21"/>
                <w:szCs w:val="21"/>
              </w:rPr>
              <w:t>6.</w:t>
            </w:r>
            <w:r>
              <w:rPr>
                <w:rStyle w:val="10"/>
                <w:rFonts w:hint="eastAsia" w:ascii="宋体" w:hAnsi="宋体" w:cs="宋体"/>
                <w:bCs/>
                <w:sz w:val="21"/>
                <w:szCs w:val="21"/>
              </w:rPr>
              <w:t>关于验收：</w:t>
            </w:r>
          </w:p>
          <w:p w14:paraId="3F3F7E98">
            <w:pPr>
              <w:pStyle w:val="6"/>
              <w:widowControl/>
              <w:spacing w:beforeAutospacing="0" w:afterAutospacing="0"/>
              <w:ind w:firstLine="420" w:firstLineChars="200"/>
              <w:rPr>
                <w:rFonts w:hint="eastAsia" w:ascii="宋体" w:hAnsi="宋体" w:cs="宋体"/>
                <w:sz w:val="21"/>
                <w:szCs w:val="21"/>
              </w:rPr>
            </w:pPr>
            <w:r>
              <w:rPr>
                <w:rFonts w:hint="eastAsia" w:ascii="宋体" w:hAnsi="宋体" w:cs="宋体"/>
                <w:sz w:val="21"/>
                <w:szCs w:val="21"/>
              </w:rPr>
              <w:t>由采购人按合同和招标、投标文件约定的要求和标准及中华人民共和国现行的验收规范和评定标准进行交货验收。</w:t>
            </w:r>
          </w:p>
          <w:p w14:paraId="264DE6D2">
            <w:pPr>
              <w:pStyle w:val="6"/>
              <w:widowControl/>
              <w:spacing w:beforeAutospacing="0" w:afterAutospacing="0"/>
              <w:ind w:firstLine="420" w:firstLineChars="200"/>
              <w:rPr>
                <w:sz w:val="21"/>
                <w:szCs w:val="21"/>
              </w:rPr>
            </w:pPr>
            <w:r>
              <w:rPr>
                <w:rFonts w:hint="eastAsia" w:ascii="宋体" w:hAnsi="宋体" w:cs="宋体"/>
                <w:sz w:val="21"/>
                <w:szCs w:val="21"/>
              </w:rPr>
              <w:t>当满足以下条件时，采购人才向中标人签发货物验收报告：</w:t>
            </w:r>
          </w:p>
          <w:p w14:paraId="0FF9706C">
            <w:pPr>
              <w:pStyle w:val="6"/>
              <w:widowControl/>
              <w:spacing w:beforeAutospacing="0" w:afterAutospacing="0"/>
              <w:ind w:firstLine="420" w:firstLineChars="200"/>
              <w:rPr>
                <w:sz w:val="21"/>
                <w:szCs w:val="21"/>
              </w:rPr>
            </w:pPr>
            <w:r>
              <w:rPr>
                <w:sz w:val="21"/>
                <w:szCs w:val="21"/>
              </w:rPr>
              <w:t>a</w:t>
            </w:r>
            <w:r>
              <w:rPr>
                <w:rFonts w:hint="eastAsia" w:ascii="宋体" w:hAnsi="宋体" w:cs="宋体"/>
                <w:sz w:val="21"/>
                <w:szCs w:val="21"/>
              </w:rPr>
              <w:t>、中标人已按照合同规定提供了全部符合技术要求的产品及完整的技术资料；</w:t>
            </w:r>
          </w:p>
          <w:p w14:paraId="4DD78450">
            <w:pPr>
              <w:pStyle w:val="6"/>
              <w:widowControl/>
              <w:spacing w:beforeAutospacing="0" w:afterAutospacing="0"/>
              <w:ind w:firstLine="420" w:firstLineChars="200"/>
              <w:rPr>
                <w:rFonts w:hint="eastAsia" w:ascii="宋体" w:hAnsi="宋体" w:cs="宋体"/>
                <w:sz w:val="21"/>
                <w:szCs w:val="21"/>
              </w:rPr>
            </w:pPr>
            <w:r>
              <w:rPr>
                <w:sz w:val="21"/>
                <w:szCs w:val="21"/>
              </w:rPr>
              <w:t>b</w:t>
            </w:r>
            <w:r>
              <w:rPr>
                <w:rFonts w:hint="eastAsia" w:ascii="宋体" w:hAnsi="宋体" w:cs="宋体"/>
                <w:sz w:val="21"/>
                <w:szCs w:val="21"/>
              </w:rPr>
              <w:t>、货物符合招标文件技术规格书的要求，性能满足要求，如中标人提供的产品不符合竞价文件中的性能及技术要求，中标人须无条件按照竞价要求进行更改或更换，直至全部满足；</w:t>
            </w:r>
          </w:p>
          <w:p w14:paraId="6D210E01">
            <w:pPr>
              <w:pStyle w:val="6"/>
              <w:widowControl/>
              <w:spacing w:beforeAutospacing="0" w:afterAutospacing="0" w:line="230" w:lineRule="atLeast"/>
              <w:ind w:firstLine="420" w:firstLineChars="200"/>
              <w:rPr>
                <w:rFonts w:hint="eastAsia" w:ascii="宋体" w:hAnsi="宋体" w:cs="宋体"/>
                <w:sz w:val="21"/>
                <w:szCs w:val="21"/>
              </w:rPr>
            </w:pPr>
            <w:r>
              <w:rPr>
                <w:sz w:val="21"/>
                <w:szCs w:val="21"/>
              </w:rPr>
              <w:t>c</w:t>
            </w:r>
            <w:r>
              <w:rPr>
                <w:rFonts w:hint="eastAsia" w:ascii="宋体" w:hAnsi="宋体" w:cs="宋体"/>
                <w:sz w:val="21"/>
                <w:szCs w:val="21"/>
              </w:rPr>
              <w:t>、货物具备产品合格证。</w:t>
            </w:r>
          </w:p>
          <w:p w14:paraId="1661F14F">
            <w:pPr>
              <w:pStyle w:val="6"/>
              <w:widowControl/>
              <w:spacing w:beforeAutospacing="0" w:afterAutospacing="0"/>
              <w:ind w:firstLine="420" w:firstLineChars="200"/>
              <w:rPr>
                <w:rFonts w:hint="eastAsia"/>
                <w:color w:val="00B050"/>
                <w:sz w:val="21"/>
                <w:szCs w:val="21"/>
              </w:rPr>
            </w:pPr>
            <w:r>
              <w:rPr>
                <w:rFonts w:hint="eastAsia" w:ascii="宋体" w:hAnsi="宋体" w:cs="宋体"/>
                <w:sz w:val="21"/>
                <w:szCs w:val="21"/>
              </w:rPr>
              <w:t>其他：</w:t>
            </w:r>
            <w:r>
              <w:rPr>
                <w:rFonts w:hint="eastAsia" w:ascii="宋体" w:hAnsi="宋体" w:cs="宋体"/>
                <w:color w:val="00B050"/>
                <w:sz w:val="21"/>
                <w:szCs w:val="21"/>
              </w:rPr>
              <w:t>为保证配置的原厂性，所供产品为整机原厂出品，产品对应一条服务编码，在生产厂商官网上可根据服务编码查询相关配置和保修年限，供应商不得利用改装产品和非原厂配件交货，否则不予验收。</w:t>
            </w:r>
          </w:p>
          <w:p w14:paraId="099C94D0">
            <w:pPr>
              <w:pStyle w:val="6"/>
              <w:widowControl/>
              <w:spacing w:beforeAutospacing="0" w:afterAutospacing="0"/>
              <w:ind w:firstLine="422" w:firstLineChars="200"/>
              <w:rPr>
                <w:sz w:val="21"/>
                <w:szCs w:val="21"/>
              </w:rPr>
            </w:pPr>
            <w:r>
              <w:rPr>
                <w:rFonts w:hint="eastAsia" w:ascii="宋体" w:hAnsi="宋体" w:cs="宋体"/>
                <w:b/>
                <w:bCs/>
                <w:sz w:val="21"/>
                <w:szCs w:val="21"/>
              </w:rPr>
              <w:t>7.</w:t>
            </w:r>
            <w:r>
              <w:rPr>
                <w:rStyle w:val="10"/>
                <w:rFonts w:hint="eastAsia" w:ascii="宋体" w:hAnsi="宋体" w:cs="宋体"/>
                <w:bCs/>
                <w:sz w:val="21"/>
                <w:szCs w:val="21"/>
              </w:rPr>
              <w:t>运输及包装方式的要求</w:t>
            </w:r>
            <w:r>
              <w:rPr>
                <w:rFonts w:hint="eastAsia" w:ascii="宋体" w:hAnsi="宋体" w:cs="宋体"/>
                <w:sz w:val="21"/>
                <w:szCs w:val="21"/>
              </w:rPr>
              <w:t>：包装完好，产品无磕碰无损伤。</w:t>
            </w:r>
          </w:p>
          <w:p w14:paraId="69BD599F">
            <w:pPr>
              <w:pStyle w:val="6"/>
              <w:widowControl/>
              <w:spacing w:beforeAutospacing="0" w:afterAutospacing="0"/>
              <w:rPr>
                <w:rFonts w:ascii="宋体" w:hAnsi="宋体" w:cs="宋体"/>
                <w:sz w:val="21"/>
                <w:szCs w:val="21"/>
              </w:rPr>
            </w:pPr>
          </w:p>
        </w:tc>
      </w:tr>
    </w:tbl>
    <w:p w14:paraId="233826B5">
      <w:pPr>
        <w:widowControl/>
        <w:shd w:val="clear" w:color="auto" w:fill="F5F6F8"/>
        <w:spacing w:before="120" w:line="23" w:lineRule="atLeast"/>
        <w:ind w:right="796"/>
        <w:jc w:val="left"/>
        <w:rPr>
          <w:rFonts w:ascii="Helvetica" w:hAnsi="Helvetica" w:eastAsia="Helvetica" w:cs="Helvetica"/>
          <w:color w:val="FFFFFF"/>
          <w:szCs w:val="21"/>
        </w:rPr>
      </w:pPr>
      <w:r>
        <w:rPr>
          <w:rFonts w:hint="eastAsia" w:ascii="Helvetica" w:hAnsi="Helvetica" w:eastAsia="Helvetica" w:cs="Helvetica"/>
          <w:b/>
          <w:bCs/>
          <w:color w:val="333333"/>
          <w:kern w:val="0"/>
          <w:sz w:val="24"/>
          <w:shd w:val="clear" w:color="auto" w:fill="F5F6F8"/>
          <w:lang w:bidi="ar"/>
        </w:rPr>
        <w:t>附：</w:t>
      </w:r>
      <w:r>
        <w:rPr>
          <w:rFonts w:ascii="Helvetica" w:hAnsi="Helvetica" w:eastAsia="Helvetica" w:cs="Helvetica"/>
          <w:b/>
          <w:bCs/>
          <w:color w:val="333333"/>
          <w:kern w:val="0"/>
          <w:sz w:val="24"/>
          <w:shd w:val="clear" w:color="auto" w:fill="F5F6F8"/>
          <w:lang w:bidi="ar"/>
        </w:rPr>
        <w:t>反拍规则：</w:t>
      </w:r>
    </w:p>
    <w:p w14:paraId="4846B58D">
      <w:pPr>
        <w:widowControl/>
        <w:shd w:val="clear" w:color="auto" w:fill="F5F6F8"/>
        <w:spacing w:before="450" w:line="375" w:lineRule="atLeast"/>
        <w:jc w:val="left"/>
        <w:rPr>
          <w:rFonts w:ascii="Helvetica" w:hAnsi="Helvetica" w:eastAsia="Helvetica" w:cs="Helvetica"/>
          <w:b/>
          <w:bCs/>
          <w:sz w:val="24"/>
        </w:rPr>
      </w:pPr>
      <w:r>
        <w:rPr>
          <w:rFonts w:ascii="Helvetica" w:hAnsi="Helvetica" w:eastAsia="Helvetica" w:cs="Helvetica"/>
          <w:kern w:val="0"/>
          <w:szCs w:val="21"/>
          <w:shd w:val="clear" w:color="auto" w:fill="F5F6F8"/>
          <w:lang w:bidi="ar"/>
        </w:rPr>
        <w:t>对意向品牌型号商品发起反向暗价竞拍，满足</w:t>
      </w:r>
      <w:r>
        <w:rPr>
          <w:rFonts w:hint="eastAsia" w:ascii="Helvetica" w:hAnsi="Helvetica" w:eastAsia="Helvetica" w:cs="Helvetica"/>
          <w:kern w:val="0"/>
          <w:szCs w:val="21"/>
          <w:shd w:val="clear" w:color="auto" w:fill="F5F6F8"/>
          <w:lang w:bidi="ar"/>
        </w:rPr>
        <w:t>3</w:t>
      </w:r>
      <w:r>
        <w:rPr>
          <w:rFonts w:ascii="Helvetica" w:hAnsi="Helvetica" w:eastAsia="Helvetica" w:cs="Helvetica"/>
          <w:kern w:val="0"/>
          <w:szCs w:val="21"/>
          <w:shd w:val="clear" w:color="auto" w:fill="F5F6F8"/>
          <w:lang w:bidi="ar"/>
        </w:rPr>
        <w:t>家报价即可成交。</w:t>
      </w:r>
    </w:p>
    <w:p w14:paraId="21D1919D">
      <w:pPr>
        <w:widowControl/>
        <w:shd w:val="clear" w:color="auto" w:fill="F5F6F8"/>
        <w:spacing w:before="450" w:line="375" w:lineRule="atLeast"/>
        <w:jc w:val="left"/>
        <w:rPr>
          <w:rFonts w:ascii="Helvetica" w:hAnsi="Helvetica" w:eastAsia="Helvetica" w:cs="Helvetica"/>
          <w:color w:val="333333"/>
          <w:szCs w:val="21"/>
        </w:rPr>
      </w:pPr>
      <w:r>
        <w:rPr>
          <w:rFonts w:ascii="Helvetica" w:hAnsi="Helvetica" w:eastAsia="Helvetica" w:cs="Helvetica"/>
          <w:color w:val="333333"/>
          <w:kern w:val="0"/>
          <w:szCs w:val="21"/>
          <w:shd w:val="clear" w:color="auto" w:fill="F5F6F8"/>
          <w:lang w:bidi="ar"/>
        </w:rPr>
        <w:t>1.所有入驻E商城的供应商皆可参与报价。</w:t>
      </w:r>
      <w:r>
        <w:rPr>
          <w:rFonts w:ascii="Helvetica" w:hAnsi="Helvetica" w:eastAsia="Helvetica" w:cs="Helvetica"/>
          <w:color w:val="333333"/>
          <w:kern w:val="0"/>
          <w:szCs w:val="21"/>
          <w:shd w:val="clear" w:color="auto" w:fill="F5F6F8"/>
          <w:lang w:bidi="ar"/>
        </w:rPr>
        <w:br w:type="textWrapping"/>
      </w:r>
      <w:r>
        <w:rPr>
          <w:rFonts w:ascii="Helvetica" w:hAnsi="Helvetica" w:eastAsia="Helvetica" w:cs="Helvetica"/>
          <w:color w:val="333333"/>
          <w:kern w:val="0"/>
          <w:szCs w:val="21"/>
          <w:shd w:val="clear" w:color="auto" w:fill="F5F6F8"/>
          <w:lang w:bidi="ar"/>
        </w:rPr>
        <w:t>2.供应商参与报价则表示默认满足并接受反拍项目要求。</w:t>
      </w:r>
      <w:r>
        <w:rPr>
          <w:rFonts w:ascii="Helvetica" w:hAnsi="Helvetica" w:eastAsia="Helvetica" w:cs="Helvetica"/>
          <w:color w:val="333333"/>
          <w:kern w:val="0"/>
          <w:szCs w:val="21"/>
          <w:shd w:val="clear" w:color="auto" w:fill="F5F6F8"/>
          <w:lang w:bidi="ar"/>
        </w:rPr>
        <w:br w:type="textWrapping"/>
      </w:r>
      <w:r>
        <w:rPr>
          <w:rFonts w:ascii="Helvetica" w:hAnsi="Helvetica" w:eastAsia="Helvetica" w:cs="Helvetica"/>
          <w:color w:val="333333"/>
          <w:kern w:val="0"/>
          <w:szCs w:val="21"/>
          <w:shd w:val="clear" w:color="auto" w:fill="F5F6F8"/>
          <w:lang w:bidi="ar"/>
        </w:rPr>
        <w:t>3.反拍截止后，按照满足反拍需求、有效报价最低的原则，确定成交供应商。</w:t>
      </w:r>
      <w:r>
        <w:rPr>
          <w:rFonts w:ascii="Helvetica" w:hAnsi="Helvetica" w:eastAsia="Helvetica" w:cs="Helvetica"/>
          <w:color w:val="333333"/>
          <w:kern w:val="0"/>
          <w:szCs w:val="21"/>
          <w:shd w:val="clear" w:color="auto" w:fill="F5F6F8"/>
          <w:lang w:bidi="ar"/>
        </w:rPr>
        <w:br w:type="textWrapping"/>
      </w:r>
      <w:r>
        <w:rPr>
          <w:rFonts w:ascii="Helvetica" w:hAnsi="Helvetica" w:eastAsia="Helvetica" w:cs="Helvetica"/>
          <w:color w:val="333333"/>
          <w:kern w:val="0"/>
          <w:szCs w:val="21"/>
          <w:shd w:val="clear" w:color="auto" w:fill="F5F6F8"/>
          <w:lang w:bidi="ar"/>
        </w:rPr>
        <w:t xml:space="preserve">4.若无供应商报价，系统自动废标。 </w:t>
      </w:r>
    </w:p>
    <w:p w14:paraId="30A1587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zNTY2MDQxMmE2NTNlNTgyNGNhNzVmNTE2ZDk4NGEifQ=="/>
  </w:docVars>
  <w:rsids>
    <w:rsidRoot w:val="4F3A7146"/>
    <w:rsid w:val="00215B85"/>
    <w:rsid w:val="002406A0"/>
    <w:rsid w:val="003402CB"/>
    <w:rsid w:val="00355FF0"/>
    <w:rsid w:val="00360E24"/>
    <w:rsid w:val="00414E8E"/>
    <w:rsid w:val="004670B7"/>
    <w:rsid w:val="004A30EA"/>
    <w:rsid w:val="00504D06"/>
    <w:rsid w:val="005D36E3"/>
    <w:rsid w:val="00654B57"/>
    <w:rsid w:val="006704E3"/>
    <w:rsid w:val="006B1718"/>
    <w:rsid w:val="0070115C"/>
    <w:rsid w:val="007E41D7"/>
    <w:rsid w:val="008D02B9"/>
    <w:rsid w:val="00A8112A"/>
    <w:rsid w:val="00AA17EF"/>
    <w:rsid w:val="00AB72ED"/>
    <w:rsid w:val="00AF150D"/>
    <w:rsid w:val="00B02EF6"/>
    <w:rsid w:val="00B424DA"/>
    <w:rsid w:val="00B71926"/>
    <w:rsid w:val="00BC1E24"/>
    <w:rsid w:val="00BD056C"/>
    <w:rsid w:val="00C676C1"/>
    <w:rsid w:val="00D02398"/>
    <w:rsid w:val="00D30F92"/>
    <w:rsid w:val="00D92F32"/>
    <w:rsid w:val="00EB1A2C"/>
    <w:rsid w:val="00EC51FC"/>
    <w:rsid w:val="00FF5A2A"/>
    <w:rsid w:val="02E518FC"/>
    <w:rsid w:val="034675D0"/>
    <w:rsid w:val="042518D1"/>
    <w:rsid w:val="069E0AF2"/>
    <w:rsid w:val="08397B01"/>
    <w:rsid w:val="084E1401"/>
    <w:rsid w:val="0A353A4C"/>
    <w:rsid w:val="0C011FC2"/>
    <w:rsid w:val="0C865822"/>
    <w:rsid w:val="0D6B035F"/>
    <w:rsid w:val="0ED012E3"/>
    <w:rsid w:val="0F1B7B63"/>
    <w:rsid w:val="0FB12F47"/>
    <w:rsid w:val="110B5BAE"/>
    <w:rsid w:val="129C720C"/>
    <w:rsid w:val="12DA4E92"/>
    <w:rsid w:val="149631F0"/>
    <w:rsid w:val="15863D5C"/>
    <w:rsid w:val="17CA65CA"/>
    <w:rsid w:val="185F4F64"/>
    <w:rsid w:val="18C272A1"/>
    <w:rsid w:val="1B6E410D"/>
    <w:rsid w:val="1BD619E1"/>
    <w:rsid w:val="1BF70C84"/>
    <w:rsid w:val="1C41784C"/>
    <w:rsid w:val="1EE241F9"/>
    <w:rsid w:val="23021011"/>
    <w:rsid w:val="24355F57"/>
    <w:rsid w:val="25541585"/>
    <w:rsid w:val="259A5E57"/>
    <w:rsid w:val="260C2B89"/>
    <w:rsid w:val="29916C0F"/>
    <w:rsid w:val="29954111"/>
    <w:rsid w:val="2A847B4D"/>
    <w:rsid w:val="2BAB510F"/>
    <w:rsid w:val="2C33078A"/>
    <w:rsid w:val="2C3972DC"/>
    <w:rsid w:val="2D5C2317"/>
    <w:rsid w:val="2D88240F"/>
    <w:rsid w:val="2EC123D8"/>
    <w:rsid w:val="300264A9"/>
    <w:rsid w:val="30DA652E"/>
    <w:rsid w:val="30F206B8"/>
    <w:rsid w:val="313B4368"/>
    <w:rsid w:val="345E3ECA"/>
    <w:rsid w:val="374B39C0"/>
    <w:rsid w:val="37762746"/>
    <w:rsid w:val="383F7AC0"/>
    <w:rsid w:val="3E522CF1"/>
    <w:rsid w:val="42022339"/>
    <w:rsid w:val="42427ABB"/>
    <w:rsid w:val="43B87A19"/>
    <w:rsid w:val="4D7F0CE1"/>
    <w:rsid w:val="4D977B65"/>
    <w:rsid w:val="4ECC04FE"/>
    <w:rsid w:val="4F3A7146"/>
    <w:rsid w:val="4F3E4DCC"/>
    <w:rsid w:val="4F8A1E95"/>
    <w:rsid w:val="4F926BA0"/>
    <w:rsid w:val="51B727A0"/>
    <w:rsid w:val="52265F2D"/>
    <w:rsid w:val="530929C7"/>
    <w:rsid w:val="53890B0C"/>
    <w:rsid w:val="56717635"/>
    <w:rsid w:val="56861E6A"/>
    <w:rsid w:val="580C3AB9"/>
    <w:rsid w:val="5A4968FF"/>
    <w:rsid w:val="5A7E51F5"/>
    <w:rsid w:val="5AC87B06"/>
    <w:rsid w:val="5C0F1DCA"/>
    <w:rsid w:val="5E831320"/>
    <w:rsid w:val="5EB96036"/>
    <w:rsid w:val="5EBD2230"/>
    <w:rsid w:val="5FC07394"/>
    <w:rsid w:val="60EC6236"/>
    <w:rsid w:val="61414E9A"/>
    <w:rsid w:val="63FF2724"/>
    <w:rsid w:val="65870C23"/>
    <w:rsid w:val="678D0EDC"/>
    <w:rsid w:val="69180510"/>
    <w:rsid w:val="6EF943DA"/>
    <w:rsid w:val="6F513BA0"/>
    <w:rsid w:val="6FCC5AF0"/>
    <w:rsid w:val="6FD9207B"/>
    <w:rsid w:val="71C81CEF"/>
    <w:rsid w:val="726D6CB1"/>
    <w:rsid w:val="73C00B67"/>
    <w:rsid w:val="7475039B"/>
    <w:rsid w:val="74774598"/>
    <w:rsid w:val="74802F76"/>
    <w:rsid w:val="74FA3E12"/>
    <w:rsid w:val="75822AD7"/>
    <w:rsid w:val="77752C1B"/>
    <w:rsid w:val="78197E01"/>
    <w:rsid w:val="7B8437E3"/>
    <w:rsid w:val="7D142103"/>
    <w:rsid w:val="7E8232B3"/>
    <w:rsid w:val="7E97340A"/>
    <w:rsid w:val="7EF463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unhideWhenUsed/>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4"/>
    <w:uiPriority w:val="0"/>
    <w:pPr>
      <w:jc w:val="left"/>
    </w:pPr>
  </w:style>
  <w:style w:type="paragraph" w:styleId="3">
    <w:name w:val="Balloon Text"/>
    <w:basedOn w:val="1"/>
    <w:link w:val="15"/>
    <w:uiPriority w:val="0"/>
    <w:rPr>
      <w:sz w:val="18"/>
      <w:szCs w:val="18"/>
    </w:rPr>
  </w:style>
  <w:style w:type="paragraph" w:styleId="4">
    <w:name w:val="footer"/>
    <w:basedOn w:val="1"/>
    <w:link w:val="16"/>
    <w:uiPriority w:val="0"/>
    <w:pPr>
      <w:tabs>
        <w:tab w:val="center" w:pos="4153"/>
        <w:tab w:val="right" w:pos="8306"/>
      </w:tabs>
      <w:snapToGrid w:val="0"/>
      <w:jc w:val="left"/>
    </w:pPr>
    <w:rPr>
      <w:sz w:val="18"/>
      <w:szCs w:val="18"/>
    </w:rPr>
  </w:style>
  <w:style w:type="paragraph" w:styleId="5">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annotation subject"/>
    <w:basedOn w:val="2"/>
    <w:next w:val="2"/>
    <w:link w:val="18"/>
    <w:uiPriority w:val="0"/>
    <w:rPr>
      <w:b/>
      <w:bCs/>
    </w:rPr>
  </w:style>
  <w:style w:type="character" w:styleId="10">
    <w:name w:val="Strong"/>
    <w:qFormat/>
    <w:uiPriority w:val="0"/>
    <w:rPr>
      <w:b/>
    </w:rPr>
  </w:style>
  <w:style w:type="character" w:styleId="11">
    <w:name w:val="FollowedHyperlink"/>
    <w:uiPriority w:val="0"/>
    <w:rPr>
      <w:color w:val="333333"/>
      <w:u w:val="none"/>
    </w:rPr>
  </w:style>
  <w:style w:type="character" w:styleId="12">
    <w:name w:val="Hyperlink"/>
    <w:uiPriority w:val="0"/>
    <w:rPr>
      <w:color w:val="333333"/>
      <w:u w:val="none"/>
    </w:rPr>
  </w:style>
  <w:style w:type="character" w:styleId="13">
    <w:name w:val="annotation reference"/>
    <w:uiPriority w:val="0"/>
    <w:rPr>
      <w:sz w:val="21"/>
      <w:szCs w:val="21"/>
    </w:rPr>
  </w:style>
  <w:style w:type="character" w:customStyle="1" w:styleId="14">
    <w:name w:val="批注文字 Char"/>
    <w:link w:val="2"/>
    <w:uiPriority w:val="0"/>
    <w:rPr>
      <w:rFonts w:ascii="Calibri" w:hAnsi="Calibri"/>
      <w:kern w:val="2"/>
      <w:sz w:val="21"/>
      <w:szCs w:val="24"/>
    </w:rPr>
  </w:style>
  <w:style w:type="character" w:customStyle="1" w:styleId="15">
    <w:name w:val="批注框文本 Char"/>
    <w:link w:val="3"/>
    <w:qFormat/>
    <w:uiPriority w:val="0"/>
    <w:rPr>
      <w:rFonts w:ascii="Calibri" w:hAnsi="Calibri" w:eastAsia="宋体" w:cs="Times New Roman"/>
      <w:kern w:val="2"/>
      <w:sz w:val="18"/>
      <w:szCs w:val="18"/>
    </w:rPr>
  </w:style>
  <w:style w:type="character" w:customStyle="1" w:styleId="16">
    <w:name w:val="页脚 Char"/>
    <w:link w:val="4"/>
    <w:qFormat/>
    <w:uiPriority w:val="0"/>
    <w:rPr>
      <w:rFonts w:ascii="Calibri" w:hAnsi="Calibri" w:eastAsia="宋体" w:cs="Times New Roman"/>
      <w:kern w:val="2"/>
      <w:sz w:val="18"/>
      <w:szCs w:val="18"/>
    </w:rPr>
  </w:style>
  <w:style w:type="character" w:customStyle="1" w:styleId="17">
    <w:name w:val="页眉 Char"/>
    <w:link w:val="5"/>
    <w:qFormat/>
    <w:uiPriority w:val="0"/>
    <w:rPr>
      <w:rFonts w:ascii="Calibri" w:hAnsi="Calibri" w:eastAsia="宋体" w:cs="Times New Roman"/>
      <w:kern w:val="2"/>
      <w:sz w:val="18"/>
      <w:szCs w:val="18"/>
    </w:rPr>
  </w:style>
  <w:style w:type="character" w:customStyle="1" w:styleId="18">
    <w:name w:val="批注主题 Char"/>
    <w:link w:val="7"/>
    <w:uiPriority w:val="0"/>
    <w:rPr>
      <w:rFonts w:ascii="Calibri" w:hAnsi="Calibri"/>
      <w:b/>
      <w:bCs/>
      <w:kern w:val="2"/>
      <w:sz w:val="21"/>
      <w:szCs w:val="24"/>
    </w:rPr>
  </w:style>
  <w:style w:type="character" w:customStyle="1" w:styleId="19">
    <w:name w:val="font61"/>
    <w:qFormat/>
    <w:uiPriority w:val="0"/>
    <w:rPr>
      <w:rFonts w:hint="eastAsia" w:ascii="微软雅黑" w:hAnsi="微软雅黑" w:eastAsia="微软雅黑" w:cs="微软雅黑"/>
      <w:b/>
      <w:bCs/>
      <w:color w:val="000000"/>
      <w:sz w:val="18"/>
      <w:szCs w:val="18"/>
      <w:u w:val="none"/>
    </w:rPr>
  </w:style>
  <w:style w:type="character" w:customStyle="1" w:styleId="20">
    <w:name w:val="font51"/>
    <w:qFormat/>
    <w:uiPriority w:val="0"/>
    <w:rPr>
      <w:rFonts w:hint="eastAsia" w:ascii="微软雅黑" w:hAnsi="微软雅黑" w:eastAsia="微软雅黑" w:cs="微软雅黑"/>
      <w:b/>
      <w:bCs/>
      <w:color w:val="000000"/>
      <w:sz w:val="18"/>
      <w:szCs w:val="18"/>
      <w:u w:val="none"/>
    </w:rPr>
  </w:style>
  <w:style w:type="character" w:customStyle="1" w:styleId="21">
    <w:name w:val="font11"/>
    <w:qFormat/>
    <w:uiPriority w:val="0"/>
    <w:rPr>
      <w:rFonts w:hint="eastAsia" w:ascii="微软雅黑" w:hAnsi="微软雅黑" w:eastAsia="微软雅黑" w:cs="微软雅黑"/>
      <w:color w:val="000000"/>
      <w:sz w:val="18"/>
      <w:szCs w:val="18"/>
      <w:u w:val="none"/>
    </w:rPr>
  </w:style>
  <w:style w:type="character" w:customStyle="1" w:styleId="22">
    <w:name w:val="category-name"/>
    <w:uiPriority w:val="0"/>
    <w:rPr>
      <w:color w:val="666666"/>
    </w:rPr>
  </w:style>
  <w:style w:type="character" w:customStyle="1" w:styleId="23">
    <w:name w:val="category-name1"/>
    <w:uiPriority w:val="0"/>
    <w:rPr>
      <w:sz w:val="24"/>
      <w:szCs w:val="24"/>
    </w:rPr>
  </w:style>
  <w:style w:type="character" w:customStyle="1" w:styleId="24">
    <w:name w:val="category-name2"/>
    <w:uiPriority w:val="0"/>
  </w:style>
  <w:style w:type="character" w:customStyle="1" w:styleId="25">
    <w:name w:val="layui-laypage-curr"/>
    <w:uiPriority w:val="0"/>
  </w:style>
  <w:style w:type="character" w:customStyle="1" w:styleId="26">
    <w:name w:val="btn-lite-style"/>
    <w:uiPriority w:val="0"/>
    <w:rPr>
      <w:color w:val="9D2227"/>
    </w:rPr>
  </w:style>
  <w:style w:type="character" w:customStyle="1" w:styleId="27">
    <w:name w:val="hover30"/>
    <w:uiPriority w:val="0"/>
    <w:rPr>
      <w:shd w:val="clear" w:color="auto" w:fill="EFF1F5"/>
    </w:rPr>
  </w:style>
  <w:style w:type="character" w:customStyle="1" w:styleId="28">
    <w:name w:val="hover31"/>
    <w:uiPriority w:val="0"/>
    <w:rPr>
      <w:color w:val="0786E7"/>
    </w:rPr>
  </w:style>
  <w:style w:type="character" w:customStyle="1" w:styleId="29">
    <w:name w:val="hover32"/>
    <w:uiPriority w:val="0"/>
    <w:rPr>
      <w:color w:val="9D2227"/>
    </w:rPr>
  </w:style>
  <w:style w:type="character" w:customStyle="1" w:styleId="30">
    <w:name w:val="noticetitle"/>
    <w:uiPriority w:val="0"/>
  </w:style>
  <w:style w:type="character" w:customStyle="1" w:styleId="31">
    <w:name w:val="icongengduo"/>
    <w:uiPriority w:val="0"/>
    <w:rPr>
      <w:color w:val="333333"/>
      <w:sz w:val="18"/>
      <w:szCs w:val="18"/>
    </w:rPr>
  </w:style>
  <w:style w:type="character" w:customStyle="1" w:styleId="32">
    <w:name w:val="actived1"/>
    <w:uiPriority w:val="0"/>
    <w:rPr>
      <w:shd w:val="clear" w:color="auto" w:fill="9D2227"/>
    </w:rPr>
  </w:style>
  <w:style w:type="character" w:customStyle="1" w:styleId="33">
    <w:name w:val="layui-this12"/>
    <w:uiPriority w:val="0"/>
    <w:rPr>
      <w:bdr w:val="single" w:color="EEEEEE" w:sz="6" w:space="0"/>
      <w:shd w:val="clear" w:color="auto" w:fill="FFFFFF"/>
    </w:rPr>
  </w:style>
  <w:style w:type="character" w:customStyle="1" w:styleId="34">
    <w:name w:val="first-child2"/>
    <w:uiPriority w:val="0"/>
  </w:style>
  <w:style w:type="character" w:customStyle="1" w:styleId="35">
    <w:name w:val="hover"/>
    <w:uiPriority w:val="0"/>
    <w:rPr>
      <w:color w:val="0786E7"/>
    </w:rPr>
  </w:style>
  <w:style w:type="character" w:customStyle="1" w:styleId="36">
    <w:name w:val="hover1"/>
    <w:uiPriority w:val="0"/>
    <w:rPr>
      <w:shd w:val="clear" w:color="auto" w:fill="EFF1F5"/>
    </w:rPr>
  </w:style>
  <w:style w:type="character" w:customStyle="1" w:styleId="37">
    <w:name w:val="hover2"/>
    <w:uiPriority w:val="0"/>
    <w:rPr>
      <w:color w:val="9D2227"/>
    </w:rPr>
  </w:style>
  <w:style w:type="character" w:customStyle="1" w:styleId="38">
    <w:name w:val="last-child2"/>
    <w:uiPriority w:val="0"/>
    <w:rPr>
      <w:color w:val="999999"/>
    </w:rPr>
  </w:style>
  <w:style w:type="character" w:customStyle="1" w:styleId="39">
    <w:name w:val="layui-this11"/>
    <w:uiPriority w:val="0"/>
    <w:rPr>
      <w:bdr w:val="single" w:color="EEEEEE" w:sz="6" w:space="0"/>
      <w:shd w:val="clear" w:color="auto" w:fill="FFFFFF"/>
    </w:rPr>
  </w:style>
  <w:style w:type="character" w:customStyle="1" w:styleId="40">
    <w:name w:val="hover28"/>
    <w:uiPriority w:val="0"/>
    <w:rPr>
      <w:shd w:val="clear" w:color="auto" w:fill="EFF1F5"/>
    </w:rPr>
  </w:style>
  <w:style w:type="character" w:customStyle="1" w:styleId="41">
    <w:name w:val="hover29"/>
    <w:uiPriority w:val="0"/>
    <w:rPr>
      <w:color w:val="0786E7"/>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1932</Words>
  <Characters>2188</Characters>
  <Lines>16</Lines>
  <Paragraphs>4</Paragraphs>
  <TotalTime>0</TotalTime>
  <ScaleCrop>false</ScaleCrop>
  <LinksUpToDate>false</LinksUpToDate>
  <CharactersWithSpaces>2213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2023-10-19T14:21:00Z</dcterms:created>
  <dc:creator>奇奇奇</dc:creator>
  <cp:lastModifiedBy>158----7203</cp:lastModifiedBy>
  <dcterms:modified xsi:type="dcterms:W3CDTF">2025-04-18T07:31:03Z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C5BC51DF92BE4AF1A48BC0F722C36D4C_13</vt:lpwstr>
  </property>
  <property fmtid="{D5CDD505-2E9C-101B-9397-08002B2CF9AE}" pid="4" name="KSOTemplateDocerSaveRecord">
    <vt:lpwstr>eyJoZGlkIjoiZjFjODcwMTQ2NGYwYTEzMTNlMGJhYzQ3M2ZiMjk5MWMiLCJ1c2VySWQiOiIxMDU2OTY5NzY5In0=</vt:lpwstr>
  </property>
</Properties>
</file>