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8F99">
      <w:pPr>
        <w:widowControl/>
        <w:jc w:val="center"/>
        <w:rPr>
          <w:rFonts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深圳市第七高级中学</w:t>
      </w:r>
    </w:p>
    <w:p w14:paraId="77505DC2">
      <w:pPr>
        <w:jc w:val="center"/>
        <w:rPr>
          <w:rFonts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  <w:u w:val="single"/>
        </w:rPr>
        <w:t xml:space="preserve"> 希沃一体机采购 </w:t>
      </w:r>
      <w:r>
        <w:rPr>
          <w:rFonts w:hint="eastAsia" w:ascii="黑体" w:hAnsi="黑体" w:eastAsia="黑体" w:cs="Times New Roman"/>
          <w:spacing w:val="40"/>
          <w:sz w:val="44"/>
          <w:szCs w:val="44"/>
        </w:rPr>
        <w:t>项目需求书</w:t>
      </w:r>
    </w:p>
    <w:p w14:paraId="71DF2AFE">
      <w:pPr>
        <w:jc w:val="center"/>
        <w:rPr>
          <w:rFonts w:ascii="黑体" w:hAnsi="黑体" w:eastAsia="黑体" w:cs="Times New Roman"/>
          <w:spacing w:val="40"/>
          <w:sz w:val="44"/>
          <w:szCs w:val="44"/>
        </w:rPr>
      </w:pPr>
    </w:p>
    <w:p w14:paraId="37DB82EE"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一、供应商资格条件:</w:t>
      </w:r>
    </w:p>
    <w:p w14:paraId="3472F2F7">
      <w:pPr>
        <w:spacing w:line="276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1.具有独立法人资格或是具有独立承担民事责任能力的其它组织；（经营范围需满足信息系统集成、计算机方面要求）</w:t>
      </w:r>
    </w:p>
    <w:p w14:paraId="4EDD04C3">
      <w:pPr>
        <w:spacing w:line="276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2.近三年经营活动中无重大违法记录；</w:t>
      </w:r>
    </w:p>
    <w:p w14:paraId="5F84B9F4">
      <w:pPr>
        <w:spacing w:line="276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color w:val="333333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</w:rPr>
        <w:t>提供原厂盖章授权函原件，以确认提供货物原厂原装质量及原厂售后保障。</w:t>
      </w:r>
    </w:p>
    <w:p w14:paraId="1327AF6D"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 w14:paraId="036DC008"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  希沃一体机采购        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48479711"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75000 </w:t>
      </w:r>
      <w:r>
        <w:rPr>
          <w:rFonts w:hint="eastAsia" w:ascii="仿宋" w:hAnsi="仿宋" w:eastAsia="仿宋" w:cs="Times New Roman"/>
          <w:bCs/>
          <w:sz w:val="32"/>
          <w:szCs w:val="32"/>
        </w:rPr>
        <w:t>元。</w:t>
      </w:r>
    </w:p>
    <w:p w14:paraId="3B22AC86"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安装涉及的人工费、材料费及税费    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。 </w:t>
      </w:r>
    </w:p>
    <w:p w14:paraId="4B88FBF4"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4.项目简介与总体要求：</w:t>
      </w:r>
    </w:p>
    <w:p w14:paraId="246291B5">
      <w:pPr>
        <w:spacing w:line="360" w:lineRule="auto"/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设备类采购，提供的货物不能为旧款的型号：限定为最新一代产品。</w:t>
      </w:r>
    </w:p>
    <w:p w14:paraId="1A3E4BB4"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 w14:paraId="2742AC8E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1.采购清单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16"/>
        <w:gridCol w:w="1361"/>
        <w:gridCol w:w="1602"/>
        <w:gridCol w:w="1417"/>
        <w:gridCol w:w="1523"/>
      </w:tblGrid>
      <w:tr w14:paraId="4FD6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24F6DAD"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A798F34"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8DE4C4"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1C7439D"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C2833"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 w14:paraId="058BF778"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 w14:paraId="6B40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 w14:paraId="6F9F75DB"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14:paraId="2349E653"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希沃一体机</w:t>
            </w:r>
          </w:p>
        </w:tc>
        <w:tc>
          <w:tcPr>
            <w:tcW w:w="1361" w:type="dxa"/>
            <w:shd w:val="clear" w:color="auto" w:fill="auto"/>
          </w:tcPr>
          <w:p w14:paraId="7235724E"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台</w:t>
            </w:r>
          </w:p>
        </w:tc>
        <w:tc>
          <w:tcPr>
            <w:tcW w:w="1602" w:type="dxa"/>
            <w:shd w:val="clear" w:color="auto" w:fill="auto"/>
          </w:tcPr>
          <w:p w14:paraId="5B1D0D85"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25000</w:t>
            </w:r>
          </w:p>
        </w:tc>
        <w:tc>
          <w:tcPr>
            <w:tcW w:w="1417" w:type="dxa"/>
            <w:shd w:val="clear" w:color="auto" w:fill="auto"/>
          </w:tcPr>
          <w:p w14:paraId="7E782B73"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523" w:type="dxa"/>
          </w:tcPr>
          <w:p w14:paraId="43EE30CA">
            <w:pPr>
              <w:spacing w:line="4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75000</w:t>
            </w:r>
          </w:p>
        </w:tc>
      </w:tr>
    </w:tbl>
    <w:p w14:paraId="418FBC54"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</w:p>
    <w:p w14:paraId="198E6B08"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 w14:paraId="5C90C27D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1.具体技术指标及性能要求</w:t>
      </w:r>
    </w:p>
    <w:tbl>
      <w:tblPr>
        <w:tblStyle w:val="12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657"/>
        <w:gridCol w:w="3301"/>
        <w:gridCol w:w="1035"/>
        <w:gridCol w:w="1620"/>
      </w:tblGrid>
      <w:tr w14:paraId="0EA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606" w:type="dxa"/>
            <w:vAlign w:val="center"/>
          </w:tcPr>
          <w:p w14:paraId="4421F74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 w14:paraId="24C3747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设备名称</w:t>
            </w:r>
          </w:p>
        </w:tc>
        <w:tc>
          <w:tcPr>
            <w:tcW w:w="3301" w:type="dxa"/>
            <w:vAlign w:val="center"/>
          </w:tcPr>
          <w:p w14:paraId="3262488F">
            <w:pPr>
              <w:jc w:val="center"/>
              <w:rPr>
                <w:rFonts w:ascii="宋体" w:hAnsi="宋体" w:cs="Arial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主要技术规格</w:t>
            </w:r>
          </w:p>
        </w:tc>
        <w:tc>
          <w:tcPr>
            <w:tcW w:w="1035" w:type="dxa"/>
            <w:vAlign w:val="center"/>
          </w:tcPr>
          <w:p w14:paraId="1FBEEE1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型号</w:t>
            </w:r>
          </w:p>
        </w:tc>
        <w:tc>
          <w:tcPr>
            <w:tcW w:w="1620" w:type="dxa"/>
            <w:vAlign w:val="center"/>
          </w:tcPr>
          <w:p w14:paraId="557929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</w:t>
            </w:r>
          </w:p>
        </w:tc>
      </w:tr>
      <w:tr w14:paraId="4EE7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606" w:type="dxa"/>
            <w:vAlign w:val="center"/>
          </w:tcPr>
          <w:p w14:paraId="0E9F84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57" w:type="dxa"/>
            <w:vAlign w:val="center"/>
          </w:tcPr>
          <w:p w14:paraId="578EF6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t>寸交互智能平板</w:t>
            </w:r>
          </w:p>
        </w:tc>
        <w:tc>
          <w:tcPr>
            <w:tcW w:w="3301" w:type="dxa"/>
            <w:vAlign w:val="center"/>
          </w:tcPr>
          <w:p w14:paraId="07B996E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整机屏幕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86英寸液晶显示器。</w:t>
            </w:r>
          </w:p>
          <w:p w14:paraId="75DE7A9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整机支持双路可插拔模块，一个槽位支持OPS模块插拔，另一个槽位支持AI模块插拔。</w:t>
            </w:r>
          </w:p>
          <w:p w14:paraId="731139C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整机嵌入式系统版本≥Android 16，CPU≥8核，主频≥2.2GHz，内存≥4GB，存储空间≥64GB。</w:t>
            </w:r>
          </w:p>
          <w:p w14:paraId="76E1B81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内置扬声器采用缝隙发声技术，喇叭采用槽式开口设计。整机全部扬声器无需打开背板即可单独拆卸；整机设备内置2.2声道扬声器，位于设备上边框，顶置朝前发声，12W高音扬声器2个，上朝向30W中低音扬声器2个，最大功率≥84W。</w:t>
            </w:r>
          </w:p>
          <w:p w14:paraId="4C604AD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整机内置非独立外扩展的16阵列麦克风，拾音角度≥180°，可用于对教室环境音频进行采集，拾音距离≥15m。</w:t>
            </w:r>
          </w:p>
          <w:p w14:paraId="2524A12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支持标准、听力、观影和AI空间感知音效模式，AI空间感知音效模式可通过内置麦克风采集教室物理环境声音，自动生成符合当前教室物理环境的频段、音量、音效。</w:t>
            </w:r>
          </w:p>
          <w:p w14:paraId="0948319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整机听力模式下具备AI人声语言增强功能，支持三挡强弱调节。</w:t>
            </w:r>
          </w:p>
          <w:p w14:paraId="31A3131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内置语音助手，通过整机麦克风及智能笔以唤醒词调起语音助手，支持语音交互的方式调节整机音量、亮度，语音操控打开系统已安装应用如：教学白板、浏览器、计算器、画板，语音搜索指定网页内容，支持选择网页中的视频进行播放或暂停。</w:t>
            </w:r>
          </w:p>
          <w:p w14:paraId="5820641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整机显示屏幕采用全贴合方式，减少显示面板与玻璃间的偏光、散射，画面显示更加清晰通透、可视角度更广。</w:t>
            </w:r>
          </w:p>
          <w:p w14:paraId="42D2C3B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整机具备≥6前置按键，可实现开关机、音量＋－、护眼、录屏、设置功能。整机前置接口与按键在设备同一侧。</w:t>
            </w:r>
          </w:p>
          <w:p w14:paraId="2AABE02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整机配套教学应用APP可通过wifi直连技术，近场发现附近教学大屏设备，无需扫码、账号密码输入步骤，即可直接连接并登录教学大屏设备，基于统一身份认证机制可实现其他教学软件免登录</w:t>
            </w:r>
            <w:bookmarkStart w:id="0" w:name="_GoBack"/>
            <w:bookmarkEnd w:id="0"/>
            <w:r>
              <w:rPr>
                <w:rFonts w:hint="eastAsia"/>
              </w:rPr>
              <w:t>操作。</w:t>
            </w:r>
          </w:p>
          <w:p w14:paraId="1EC2543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内置双WiFi6无线网卡。</w:t>
            </w:r>
          </w:p>
          <w:p w14:paraId="20258F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内置传屏接收模块。</w:t>
            </w:r>
          </w:p>
          <w:p w14:paraId="5C116D6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内置非独立式摄像头，摄像头数量≥5个，其中至少四个摄像头像素值均≥1300 万，支持拍摄有效像素数≥5200万的照片，支持拍摄8192×2772分辨率的视频。</w:t>
            </w:r>
          </w:p>
          <w:p w14:paraId="239E940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内置手势答题小工具，支持老师在课中发起互动选择题，学生通过手势给出对应答案，通过摄像头进行捕捉和AI识别，最终收集回作答情况，形成课中的互动学情。</w:t>
            </w:r>
          </w:p>
          <w:p w14:paraId="15A1D6A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内置电脑配置：处理器</w:t>
            </w:r>
            <w:r>
              <w:rPr>
                <w:rFonts w:hint="eastAsia"/>
                <w:lang w:val="en-US" w:eastAsia="zh-CN"/>
              </w:rPr>
              <w:t>≥12代</w:t>
            </w:r>
            <w:r>
              <w:rPr>
                <w:rFonts w:hint="eastAsia"/>
              </w:rPr>
              <w:t>i5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8</w:t>
            </w:r>
            <w:r>
              <w:t>G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固态硬盘</w:t>
            </w:r>
            <w:r>
              <w:rPr>
                <w:rFonts w:hint="eastAsia"/>
                <w:lang w:val="en-US" w:eastAsia="zh-CN"/>
              </w:rPr>
              <w:t>256</w:t>
            </w:r>
            <w:r>
              <w:t>G</w:t>
            </w:r>
            <w:r>
              <w:rPr>
                <w:rFonts w:hint="eastAsia"/>
              </w:rPr>
              <w:t>。</w:t>
            </w:r>
          </w:p>
          <w:p w14:paraId="1E31E7A6">
            <w:pPr>
              <w:pStyle w:val="11"/>
              <w:widowControl/>
              <w:spacing w:beforeAutospacing="0" w:afterAutospacing="0" w:line="336" w:lineRule="atLeast"/>
              <w:rPr>
                <w:rFonts w:ascii="黑体" w:hAnsi="黑体" w:eastAsia="黑体" w:cs="黑体"/>
                <w:b/>
                <w:bCs/>
                <w:color w:val="333333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16"/>
                <w:szCs w:val="16"/>
              </w:rPr>
              <w:t>万向黑板</w:t>
            </w:r>
          </w:p>
          <w:p w14:paraId="153B1A5F">
            <w:pPr>
              <w:pStyle w:val="11"/>
              <w:widowControl/>
              <w:spacing w:beforeAutospacing="0" w:afterAutospacing="0" w:line="336" w:lineRule="atLeast"/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  <w:t>二、万向装置构造与材料配置:</w:t>
            </w:r>
          </w:p>
          <w:p w14:paraId="4EB7CBCE">
            <w:pPr>
              <w:pStyle w:val="11"/>
              <w:widowControl/>
              <w:spacing w:beforeAutospacing="0" w:afterAutospacing="0" w:line="336" w:lineRule="atLeast"/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  <w:t>1.上下升降装置：由书写板、钢丝绳、同步轮、配重等组成，由钢丝绳+同步轮的升降机构可带动书写板两端同时上升或下降，避免书写板升降打滑，以及书写板两端下沉的缺陷，上下升降幅度为400mm。</w:t>
            </w:r>
          </w:p>
          <w:p w14:paraId="7427727A">
            <w:pPr>
              <w:pStyle w:val="11"/>
              <w:widowControl/>
              <w:spacing w:beforeAutospacing="0" w:afterAutospacing="0" w:line="336" w:lineRule="atLeast"/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  <w:t>2.横向移动装置：由横向滑轨、支架以及滑轮组成，推拉书写板是滑动灵活无噪音，可根据用户需求调整两块书写板的推拉距离，范围从600—1000mm可调整。</w:t>
            </w:r>
          </w:p>
          <w:p w14:paraId="3FFB7C39">
            <w:pPr>
              <w:pStyle w:val="11"/>
              <w:widowControl/>
              <w:spacing w:beforeAutospacing="0" w:afterAutospacing="0" w:line="336" w:lineRule="atLeast"/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  <w:t>3.书写板的活动机构无工具无法折卸，配重置于书写板内侧，使用时无法接触，下方安装防跌落护板，防止极端情况下配重掉落。</w:t>
            </w:r>
          </w:p>
          <w:p w14:paraId="00258196">
            <w:pPr>
              <w:pStyle w:val="11"/>
              <w:widowControl/>
              <w:spacing w:beforeAutospacing="0" w:afterAutospacing="0" w:line="336" w:lineRule="atLeast"/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color w:val="333333"/>
                <w:sz w:val="16"/>
                <w:szCs w:val="16"/>
              </w:rPr>
              <w:t>4.横向轨道及升降轨道的两端配置减震橡胶装置。</w:t>
            </w:r>
          </w:p>
          <w:p w14:paraId="1CE5357D">
            <w:pPr>
              <w:pStyle w:val="11"/>
              <w:widowControl/>
              <w:spacing w:beforeAutospacing="0" w:afterAutospacing="0" w:line="336" w:lineRule="atLeast"/>
              <w:rPr>
                <w:rFonts w:hint="eastAsia" w:ascii="Helvetica" w:hAnsi="Helvetica" w:eastAsia="宋体" w:cs="Helvetica"/>
                <w:color w:val="333333"/>
                <w:sz w:val="16"/>
                <w:szCs w:val="16"/>
              </w:rPr>
            </w:pPr>
          </w:p>
          <w:p w14:paraId="3C54DA27">
            <w:pPr>
              <w:pStyle w:val="2"/>
              <w:ind w:left="419" w:leftChars="0" w:hanging="419" w:hangingChars="232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14:paraId="3FA806FD">
            <w:pPr>
              <w:pStyle w:val="11"/>
              <w:widowControl/>
              <w:spacing w:beforeAutospacing="0" w:afterAutospacing="0" w:line="336" w:lineRule="atLeast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希沃第八代交互智能平板旗舰款FH86EB</w:t>
            </w:r>
          </w:p>
          <w:p w14:paraId="48D6E2A4">
            <w:pPr>
              <w:pStyle w:val="7"/>
              <w:widowControl/>
              <w:shd w:val="clear" w:color="auto" w:fill="FFFFFF"/>
              <w:spacing w:beforeAutospacing="0" w:afterAutospacing="0" w:line="324" w:lineRule="atLeast"/>
              <w:rPr>
                <w:rFonts w:hint="default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  <w:t>+万向黑板</w:t>
            </w:r>
          </w:p>
          <w:p w14:paraId="6FB8CFD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F9A1C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含税、含运费、智能笔、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集控</w:t>
            </w:r>
            <w:r>
              <w:rPr>
                <w:rFonts w:hint="eastAsia" w:ascii="宋体" w:hAnsi="宋体"/>
                <w:sz w:val="18"/>
                <w:szCs w:val="18"/>
              </w:rPr>
              <w:t>软件、三年售后，含安装。</w:t>
            </w:r>
          </w:p>
          <w:p w14:paraId="71ADE9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209B789"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 w14:paraId="4311CD82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（一）质保期</w:t>
      </w:r>
    </w:p>
    <w:p w14:paraId="4AFB4390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质保期三年</w:t>
      </w:r>
    </w:p>
    <w:p w14:paraId="15075029">
      <w:pPr>
        <w:spacing w:line="360" w:lineRule="auto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（二）售后服务要求</w:t>
      </w:r>
    </w:p>
    <w:p w14:paraId="73574DC9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对非人为质量问题，厂家标准保修三年。因不可抗力如（洪水、火灾、雷击等）、环境、气候干扰及其他外来因素造成的损害除外。</w:t>
      </w:r>
    </w:p>
    <w:p w14:paraId="0232B72F"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质量保证期内所有非故意性损坏以及正常使用范围内造成的损坏</w:t>
      </w:r>
      <w:r>
        <w:rPr>
          <w:rFonts w:hint="eastAsia" w:ascii="仿宋" w:hAnsi="仿宋" w:eastAsia="仿宋" w:cs="Times New Roman"/>
          <w:sz w:val="32"/>
          <w:szCs w:val="32"/>
        </w:rPr>
        <w:t>全部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免费维修</w:t>
      </w:r>
      <w:r>
        <w:rPr>
          <w:rFonts w:hint="eastAsia" w:ascii="仿宋" w:hAnsi="仿宋" w:eastAsia="仿宋" w:cs="Times New Roman"/>
          <w:sz w:val="32"/>
          <w:szCs w:val="32"/>
        </w:rPr>
        <w:t>。过了保质期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范围的，提供优惠价格的配件和服务，维修时只收部件成本费。</w:t>
      </w:r>
    </w:p>
    <w:p w14:paraId="4C2BA72A">
      <w:pPr>
        <w:numPr>
          <w:ilvl w:val="0"/>
          <w:numId w:val="2"/>
        </w:numPr>
        <w:spacing w:line="360" w:lineRule="auto"/>
        <w:ind w:firstLine="320" w:firstLineChars="1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结算与付款方式</w:t>
      </w:r>
    </w:p>
    <w:p w14:paraId="56D31096">
      <w:pPr>
        <w:spacing w:line="36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甲乙双方签订合同后，乙方完成项目交付使用，通过甲方验收后乙方提供项目资料和开具相应合法有效发票，30个工作日内甲方根据发票金额通过转账的方式一次性支付给乙方。</w:t>
      </w:r>
    </w:p>
    <w:p w14:paraId="26153ECE">
      <w:pPr>
        <w:spacing w:line="360" w:lineRule="auto"/>
        <w:ind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六、竞价资料</w:t>
      </w:r>
    </w:p>
    <w:p w14:paraId="37D6A8D6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需要投标人/供应商提供的证明文件资料：营业执照复印件、法人代表证明书、法人代表授权书、被授权人身份证复印件；工商信息、</w:t>
      </w:r>
      <w:r>
        <w:rPr>
          <w:rFonts w:hint="eastAsia" w:ascii="仿宋" w:hAnsi="仿宋" w:eastAsia="仿宋" w:cs="Times New Roman"/>
          <w:bCs/>
          <w:sz w:val="32"/>
          <w:szCs w:val="32"/>
        </w:rPr>
        <w:t>近三年经营活动中无重大违法记录承诺书</w:t>
      </w:r>
      <w:r>
        <w:rPr>
          <w:rFonts w:hint="eastAsia" w:ascii="仿宋" w:hAnsi="仿宋" w:eastAsia="仿宋" w:cs="Times New Roman"/>
          <w:sz w:val="32"/>
          <w:szCs w:val="32"/>
        </w:rPr>
        <w:t>（以上材料均盖公章）。</w:t>
      </w:r>
    </w:p>
    <w:sectPr>
      <w:footerReference r:id="rId4" w:type="first"/>
      <w:footerReference r:id="rId3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5866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B277"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</w:t>
    </w:r>
    <w:r>
      <w:rPr>
        <w:rFonts w:ascii="宋体" w:hAnsi="宋体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BD8C1"/>
    <w:multiLevelType w:val="singleLevel"/>
    <w:tmpl w:val="BFFBD8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B5271B"/>
    <w:multiLevelType w:val="singleLevel"/>
    <w:tmpl w:val="CAB527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BmZjNhMTZiNGE0NzM4YWQwMjA5NDg0OTI5YTg3YTQyIiwidXNlckNvdW50Ijo2fQ=="/>
  </w:docVars>
  <w:rsids>
    <w:rsidRoot w:val="5B0F19ED"/>
    <w:rsid w:val="000122CA"/>
    <w:rsid w:val="00016AAD"/>
    <w:rsid w:val="00054D5B"/>
    <w:rsid w:val="0007456C"/>
    <w:rsid w:val="00082492"/>
    <w:rsid w:val="000A4998"/>
    <w:rsid w:val="00103CCD"/>
    <w:rsid w:val="00104F22"/>
    <w:rsid w:val="001214DA"/>
    <w:rsid w:val="001A7528"/>
    <w:rsid w:val="001E7D2E"/>
    <w:rsid w:val="0030435D"/>
    <w:rsid w:val="00371DD2"/>
    <w:rsid w:val="003846E3"/>
    <w:rsid w:val="003E17C3"/>
    <w:rsid w:val="004223E3"/>
    <w:rsid w:val="004324EE"/>
    <w:rsid w:val="004576B6"/>
    <w:rsid w:val="00494BD6"/>
    <w:rsid w:val="004C1986"/>
    <w:rsid w:val="004F3D2D"/>
    <w:rsid w:val="005715A1"/>
    <w:rsid w:val="00626C0F"/>
    <w:rsid w:val="00687748"/>
    <w:rsid w:val="006B7634"/>
    <w:rsid w:val="006C657D"/>
    <w:rsid w:val="006C73BA"/>
    <w:rsid w:val="00747D2E"/>
    <w:rsid w:val="00766C30"/>
    <w:rsid w:val="007923FC"/>
    <w:rsid w:val="007C0103"/>
    <w:rsid w:val="007C5432"/>
    <w:rsid w:val="007E0F7E"/>
    <w:rsid w:val="008402E6"/>
    <w:rsid w:val="00AD42A2"/>
    <w:rsid w:val="00B04654"/>
    <w:rsid w:val="00B326BF"/>
    <w:rsid w:val="00B5459C"/>
    <w:rsid w:val="00B71BEB"/>
    <w:rsid w:val="00BF4534"/>
    <w:rsid w:val="00C41139"/>
    <w:rsid w:val="00CB0ADC"/>
    <w:rsid w:val="00DF1938"/>
    <w:rsid w:val="00EC11B0"/>
    <w:rsid w:val="00F47A4D"/>
    <w:rsid w:val="00FD70B1"/>
    <w:rsid w:val="011B6997"/>
    <w:rsid w:val="01822573"/>
    <w:rsid w:val="03802AE2"/>
    <w:rsid w:val="06255BC2"/>
    <w:rsid w:val="0A002BCE"/>
    <w:rsid w:val="0AD36015"/>
    <w:rsid w:val="0CE560AB"/>
    <w:rsid w:val="0E0B1E3B"/>
    <w:rsid w:val="0F6300FD"/>
    <w:rsid w:val="0FA3156A"/>
    <w:rsid w:val="10E01064"/>
    <w:rsid w:val="12054EE8"/>
    <w:rsid w:val="13A91BE1"/>
    <w:rsid w:val="140137CB"/>
    <w:rsid w:val="14427960"/>
    <w:rsid w:val="1B9256E0"/>
    <w:rsid w:val="1DD261D8"/>
    <w:rsid w:val="1E4D408D"/>
    <w:rsid w:val="204C2272"/>
    <w:rsid w:val="204F58BE"/>
    <w:rsid w:val="2077148F"/>
    <w:rsid w:val="21690C01"/>
    <w:rsid w:val="22C55A27"/>
    <w:rsid w:val="22C5630B"/>
    <w:rsid w:val="23225D32"/>
    <w:rsid w:val="23CF6B43"/>
    <w:rsid w:val="245872B7"/>
    <w:rsid w:val="284321AC"/>
    <w:rsid w:val="2BED0691"/>
    <w:rsid w:val="31903F88"/>
    <w:rsid w:val="334F53ED"/>
    <w:rsid w:val="35DE3FC9"/>
    <w:rsid w:val="36924DAD"/>
    <w:rsid w:val="36C24BE4"/>
    <w:rsid w:val="38D83A83"/>
    <w:rsid w:val="3A3C2EFF"/>
    <w:rsid w:val="3C4E65BE"/>
    <w:rsid w:val="3C5A6149"/>
    <w:rsid w:val="3DE36125"/>
    <w:rsid w:val="3EB8613C"/>
    <w:rsid w:val="3F0400C2"/>
    <w:rsid w:val="40E83499"/>
    <w:rsid w:val="432C3DAE"/>
    <w:rsid w:val="435273D7"/>
    <w:rsid w:val="44020D16"/>
    <w:rsid w:val="448636F5"/>
    <w:rsid w:val="48270D4B"/>
    <w:rsid w:val="4A3B13F5"/>
    <w:rsid w:val="4AA5064D"/>
    <w:rsid w:val="4AEE78FE"/>
    <w:rsid w:val="4B400030"/>
    <w:rsid w:val="4BE156B5"/>
    <w:rsid w:val="4D681ED9"/>
    <w:rsid w:val="50744D49"/>
    <w:rsid w:val="5301620A"/>
    <w:rsid w:val="533662E6"/>
    <w:rsid w:val="539D5F78"/>
    <w:rsid w:val="54276015"/>
    <w:rsid w:val="567D739E"/>
    <w:rsid w:val="570E73AF"/>
    <w:rsid w:val="5769332A"/>
    <w:rsid w:val="59592D2E"/>
    <w:rsid w:val="5A5B3CCD"/>
    <w:rsid w:val="5A985AD8"/>
    <w:rsid w:val="5B0B50CE"/>
    <w:rsid w:val="5B0F19ED"/>
    <w:rsid w:val="5C45759A"/>
    <w:rsid w:val="5C6914DA"/>
    <w:rsid w:val="61060736"/>
    <w:rsid w:val="63AC75C7"/>
    <w:rsid w:val="63B417CB"/>
    <w:rsid w:val="64994927"/>
    <w:rsid w:val="65C53B91"/>
    <w:rsid w:val="664F1741"/>
    <w:rsid w:val="68273FF7"/>
    <w:rsid w:val="6AD06BC8"/>
    <w:rsid w:val="6BD83F86"/>
    <w:rsid w:val="6CA42A35"/>
    <w:rsid w:val="6D372F2F"/>
    <w:rsid w:val="6D38300F"/>
    <w:rsid w:val="6FCF3182"/>
    <w:rsid w:val="70B321E2"/>
    <w:rsid w:val="72113D4E"/>
    <w:rsid w:val="72C07522"/>
    <w:rsid w:val="734E2D80"/>
    <w:rsid w:val="738F5872"/>
    <w:rsid w:val="786A5D74"/>
    <w:rsid w:val="79164B69"/>
    <w:rsid w:val="79646E59"/>
    <w:rsid w:val="7AD65B35"/>
    <w:rsid w:val="7B241EDA"/>
    <w:rsid w:val="7BA1129A"/>
    <w:rsid w:val="7D0B7E50"/>
    <w:rsid w:val="7D6438CC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楷体_GB2312" w:hAnsi="华文楷体" w:eastAsia="楷体_GB2312" w:cs="Times New Roman"/>
      <w:color w:val="000000"/>
      <w:sz w:val="28"/>
      <w:szCs w:val="28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页脚 字符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039dcaf-74b0-4b68-bdcc-0f5918840804\&#25307;&#26631;&#39033;&#30446;&#29992;&#25143;&#38656;&#2771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招标项目用户需求书</Template>
  <Pages>4</Pages>
  <Words>2634</Words>
  <Characters>2839</Characters>
  <Lines>21</Lines>
  <Paragraphs>5</Paragraphs>
  <TotalTime>7</TotalTime>
  <ScaleCrop>false</ScaleCrop>
  <LinksUpToDate>false</LinksUpToDate>
  <CharactersWithSpaces>2878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2026-05-18T14:56:00Z</dcterms:created>
  <dc:creator>nothing</dc:creator>
  <cp:lastModifiedBy>巫福东</cp:lastModifiedBy>
  <dcterms:modified xsi:type="dcterms:W3CDTF">2026-06-11T01:14:07Z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v1.0_mb_+Uyl4m3ue68XKP4Dx1/PqQ==</vt:lpwstr>
  </property>
  <property fmtid="{D5CDD505-2E9C-101B-9397-08002B2CF9AE}" pid="4" name="ICV">
    <vt:lpwstr>2ACD8F8EC8A3492797FEA506CAE504A7_13</vt:lpwstr>
  </property>
  <property fmtid="{D5CDD505-2E9C-101B-9397-08002B2CF9AE}" pid="5" name="KSOTemplateDocerSaveRecord">
    <vt:lpwstr>eyJoZGlkIjoiNWI2Mjk5MDc1M2U4NTI2MGMwYTQ3NTc3YThmYzlmMDUiLCJ1c2VySWQiOiIxNjU3NDgzMzA2In0=</vt:lpwstr>
  </property>
</Properties>
</file>