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color w:val="000000"/>
          <w:sz w:val="36"/>
          <w:szCs w:val="36"/>
          <w:lang w:val="en-US" w:eastAsia="zh-CN"/>
        </w:rPr>
      </w:pPr>
      <w:r>
        <w:rPr>
          <w:rFonts w:hint="eastAsia" w:ascii="微软雅黑" w:hAnsi="微软雅黑" w:eastAsia="微软雅黑" w:cs="微软雅黑"/>
          <w:color w:val="000000"/>
          <w:sz w:val="36"/>
          <w:szCs w:val="36"/>
          <w:lang w:val="en-US" w:eastAsia="zh-CN"/>
        </w:rPr>
        <w:t xml:space="preserve">                                                         </w:t>
      </w:r>
      <w:r>
        <w:rPr>
          <w:rFonts w:hint="eastAsia" w:ascii="微软雅黑" w:hAnsi="微软雅黑" w:eastAsia="微软雅黑" w:cs="微软雅黑"/>
          <w:color w:val="000000"/>
          <w:sz w:val="36"/>
          <w:szCs w:val="36"/>
        </w:rPr>
        <w:t>深圳市医疗卫生</w:t>
      </w:r>
      <w:r>
        <w:rPr>
          <w:rFonts w:hint="eastAsia" w:ascii="微软雅黑" w:hAnsi="微软雅黑" w:eastAsia="微软雅黑" w:cs="微软雅黑"/>
          <w:color w:val="000000"/>
          <w:sz w:val="36"/>
          <w:szCs w:val="36"/>
          <w:lang w:eastAsia="zh-CN"/>
        </w:rPr>
        <w:t>专业服务中心</w:t>
      </w:r>
      <w:r>
        <w:rPr>
          <w:rFonts w:hint="eastAsia" w:ascii="微软雅黑" w:hAnsi="微软雅黑" w:eastAsia="微软雅黑" w:cs="微软雅黑"/>
          <w:color w:val="000000"/>
          <w:sz w:val="36"/>
          <w:szCs w:val="36"/>
          <w:lang w:val="en-US" w:eastAsia="zh-CN"/>
        </w:rPr>
        <w:t>污水处理站危废管理视频监控联网服务项目需求</w:t>
      </w:r>
    </w:p>
    <w:p>
      <w:pPr>
        <w:numPr>
          <w:ilvl w:val="0"/>
          <w:numId w:val="1"/>
        </w:numPr>
        <w:jc w:val="left"/>
        <w:rPr>
          <w:rFonts w:hint="eastAsia" w:asciiTheme="minorEastAsia" w:hAnsiTheme="minorEastAsia" w:eastAsiaTheme="minorEastAsia" w:cstheme="minorEastAsia"/>
          <w:b/>
          <w:bCs/>
          <w:color w:val="000000"/>
          <w:sz w:val="28"/>
          <w:szCs w:val="28"/>
          <w:lang w:val="en-US" w:eastAsia="zh-CN"/>
        </w:rPr>
      </w:pPr>
      <w:r>
        <w:rPr>
          <w:rFonts w:hint="eastAsia" w:asciiTheme="minorEastAsia" w:hAnsiTheme="minorEastAsia" w:eastAsiaTheme="minorEastAsia" w:cstheme="minorEastAsia"/>
          <w:b/>
          <w:bCs/>
          <w:color w:val="000000"/>
          <w:sz w:val="28"/>
          <w:szCs w:val="28"/>
          <w:lang w:val="en-US" w:eastAsia="zh-CN"/>
        </w:rPr>
        <w:t>项目说明</w:t>
      </w:r>
    </w:p>
    <w:p>
      <w:pPr>
        <w:numPr>
          <w:ilvl w:val="0"/>
          <w:numId w:val="0"/>
        </w:numPr>
        <w:jc w:val="lef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1、项目名称：</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根据深圳市生态环境局的要求，在深圳市医疗卫生专业服务中心污水处理站的危险废物管理的关键节点（包括产生、贮存、运输和利用处置）应用电子数据采集与视频监控技术，与广东省固体废物环保局监管信息平台联网运行。</w:t>
      </w:r>
    </w:p>
    <w:p>
      <w:pPr>
        <w:pStyle w:val="3"/>
        <w:spacing w:line="360" w:lineRule="auto"/>
        <w:ind w:left="0" w:leftChars="0" w:firstLine="480" w:firstLineChars="200"/>
        <w:jc w:val="left"/>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2、项目地址：</w:t>
      </w:r>
    </w:p>
    <w:p>
      <w:pPr>
        <w:pStyle w:val="3"/>
        <w:spacing w:line="360" w:lineRule="auto"/>
        <w:ind w:left="0" w:leftChars="0" w:firstLine="360" w:firstLineChars="150"/>
        <w:jc w:val="left"/>
        <w:rPr>
          <w:rFonts w:hint="eastAsia" w:ascii="宋体" w:hAnsi="宋体" w:eastAsia="宋体" w:cs="宋体"/>
          <w:kern w:val="10"/>
          <w:sz w:val="24"/>
          <w:szCs w:val="24"/>
        </w:rPr>
      </w:pPr>
      <w:r>
        <w:rPr>
          <w:rFonts w:hint="eastAsia" w:ascii="宋体" w:hAnsi="宋体" w:eastAsia="宋体" w:cs="宋体"/>
          <w:kern w:val="10"/>
          <w:sz w:val="24"/>
          <w:szCs w:val="24"/>
          <w:lang w:eastAsia="zh-CN"/>
        </w:rPr>
        <w:t>深圳市南山区龙苑路</w:t>
      </w:r>
      <w:r>
        <w:rPr>
          <w:rFonts w:hint="eastAsia" w:ascii="宋体" w:hAnsi="宋体" w:eastAsia="宋体" w:cs="宋体"/>
          <w:kern w:val="10"/>
          <w:sz w:val="24"/>
          <w:szCs w:val="24"/>
          <w:lang w:val="en-US" w:eastAsia="zh-CN"/>
        </w:rPr>
        <w:t>14号</w:t>
      </w:r>
      <w:r>
        <w:rPr>
          <w:rFonts w:hint="eastAsia" w:eastAsia="宋体" w:cs="宋体"/>
          <w:kern w:val="10"/>
          <w:sz w:val="24"/>
          <w:szCs w:val="24"/>
          <w:lang w:eastAsia="zh-CN"/>
        </w:rPr>
        <w:t>污水站</w:t>
      </w:r>
      <w:r>
        <w:rPr>
          <w:rFonts w:hint="eastAsia" w:ascii="宋体" w:hAnsi="宋体" w:eastAsia="宋体" w:cs="宋体"/>
          <w:kern w:val="10"/>
          <w:sz w:val="24"/>
          <w:szCs w:val="24"/>
        </w:rPr>
        <w:t>。</w:t>
      </w:r>
    </w:p>
    <w:p>
      <w:pPr>
        <w:pStyle w:val="3"/>
        <w:numPr>
          <w:ilvl w:val="0"/>
          <w:numId w:val="2"/>
        </w:numPr>
        <w:spacing w:line="360" w:lineRule="auto"/>
        <w:ind w:left="60" w:leftChars="0" w:firstLine="360" w:firstLineChars="0"/>
        <w:jc w:val="left"/>
        <w:rPr>
          <w:rFonts w:hint="eastAsia" w:cs="宋体"/>
          <w:kern w:val="10"/>
          <w:sz w:val="24"/>
          <w:szCs w:val="24"/>
          <w:lang w:val="en-US" w:eastAsia="zh-CN"/>
        </w:rPr>
      </w:pPr>
      <w:r>
        <w:rPr>
          <w:rFonts w:hint="eastAsia" w:cs="宋体"/>
          <w:kern w:val="10"/>
          <w:sz w:val="24"/>
          <w:szCs w:val="24"/>
          <w:lang w:val="en-US" w:eastAsia="zh-CN"/>
        </w:rPr>
        <w:t>服务费用：</w:t>
      </w:r>
      <w:bookmarkStart w:id="0" w:name="_GoBack"/>
      <w:bookmarkEnd w:id="0"/>
    </w:p>
    <w:p>
      <w:pPr>
        <w:pStyle w:val="3"/>
        <w:numPr>
          <w:ilvl w:val="0"/>
          <w:numId w:val="0"/>
        </w:numPr>
        <w:spacing w:line="360" w:lineRule="auto"/>
        <w:ind w:leftChars="150"/>
        <w:jc w:val="left"/>
        <w:rPr>
          <w:rFonts w:hint="default" w:cs="宋体"/>
          <w:kern w:val="10"/>
          <w:sz w:val="24"/>
          <w:szCs w:val="24"/>
          <w:lang w:val="en-US" w:eastAsia="zh-CN"/>
        </w:rPr>
      </w:pPr>
      <w:r>
        <w:rPr>
          <w:rFonts w:hint="eastAsia" w:cs="宋体"/>
          <w:kern w:val="10"/>
          <w:sz w:val="24"/>
          <w:szCs w:val="24"/>
          <w:lang w:val="en-US" w:eastAsia="zh-CN"/>
        </w:rPr>
        <w:t>服务总费用不超过46565元。</w:t>
      </w:r>
    </w:p>
    <w:p>
      <w:pPr>
        <w:rPr>
          <w:rFonts w:hint="eastAsia" w:ascii="宋体" w:hAnsi="宋体" w:eastAsia="宋体" w:cs="宋体"/>
          <w:b/>
          <w:sz w:val="28"/>
          <w:szCs w:val="28"/>
        </w:rPr>
      </w:pPr>
      <w:r>
        <w:rPr>
          <w:rFonts w:hint="eastAsia" w:ascii="宋体" w:hAnsi="宋体" w:eastAsia="宋体" w:cs="宋体"/>
          <w:b/>
          <w:sz w:val="28"/>
          <w:szCs w:val="28"/>
          <w:lang w:eastAsia="zh-CN"/>
        </w:rPr>
        <w:t>二</w:t>
      </w:r>
      <w:r>
        <w:rPr>
          <w:rFonts w:hint="eastAsia" w:ascii="宋体" w:hAnsi="宋体" w:eastAsia="宋体" w:cs="宋体"/>
          <w:b/>
          <w:sz w:val="28"/>
          <w:szCs w:val="28"/>
        </w:rPr>
        <w:t>、资</w:t>
      </w:r>
      <w:r>
        <w:rPr>
          <w:rFonts w:hint="eastAsia" w:ascii="宋体" w:hAnsi="宋体" w:eastAsia="宋体" w:cs="宋体"/>
          <w:b/>
          <w:sz w:val="28"/>
          <w:szCs w:val="28"/>
          <w:lang w:eastAsia="zh-CN"/>
        </w:rPr>
        <w:t>质</w:t>
      </w:r>
      <w:r>
        <w:rPr>
          <w:rFonts w:hint="eastAsia" w:ascii="宋体" w:hAnsi="宋体" w:eastAsia="宋体" w:cs="宋体"/>
          <w:b/>
          <w:sz w:val="28"/>
          <w:szCs w:val="28"/>
        </w:rPr>
        <w:t>要求</w:t>
      </w:r>
    </w:p>
    <w:p>
      <w:pPr>
        <w:spacing w:before="60" w:after="240" w:line="440" w:lineRule="exact"/>
        <w:ind w:firstLine="480" w:firstLineChars="200"/>
        <w:jc w:val="both"/>
        <w:outlineLvl w:val="0"/>
        <w:rPr>
          <w:rFonts w:hint="default" w:ascii="宋体" w:hAnsi="宋体" w:eastAsia="宋体" w:cs="Times New Roman"/>
          <w:sz w:val="24"/>
          <w:lang w:val="en-US" w:eastAsia="zh-CN"/>
        </w:rPr>
      </w:pPr>
      <w:r>
        <w:rPr>
          <w:rFonts w:hint="eastAsia" w:ascii="宋体" w:hAnsi="宋体" w:eastAsia="宋体" w:cs="Times New Roman"/>
          <w:sz w:val="24"/>
          <w:lang w:val="en-US" w:eastAsia="zh-CN"/>
        </w:rPr>
        <w:t>1</w:t>
      </w:r>
      <w:r>
        <w:rPr>
          <w:rFonts w:hint="eastAsia" w:ascii="宋体" w:hAnsi="宋体" w:eastAsia="宋体" w:cs="宋体"/>
          <w:color w:val="000000"/>
          <w:kern w:val="0"/>
          <w:sz w:val="24"/>
          <w:szCs w:val="24"/>
          <w:lang w:val="en-US" w:eastAsia="zh-CN"/>
        </w:rPr>
        <w:t>、</w:t>
      </w:r>
      <w:r>
        <w:rPr>
          <w:rFonts w:hint="eastAsia" w:ascii="宋体" w:hAnsi="宋体" w:cs="Times New Roman"/>
          <w:sz w:val="24"/>
          <w:lang w:eastAsia="zh-CN"/>
        </w:rPr>
        <w:t>参与的供应商</w:t>
      </w:r>
      <w:r>
        <w:rPr>
          <w:rFonts w:hint="eastAsia" w:ascii="宋体" w:hAnsi="宋体" w:eastAsia="宋体" w:cs="Times New Roman"/>
          <w:sz w:val="24"/>
        </w:rPr>
        <w:t>须具有独立承担民事责任的能力，具备履行合同相应能力，营业范围与本次项目相适应</w:t>
      </w:r>
      <w:r>
        <w:rPr>
          <w:rFonts w:hint="eastAsia" w:ascii="宋体" w:hAnsi="宋体" w:eastAsia="宋体" w:cs="Times New Roman"/>
          <w:sz w:val="24"/>
          <w:lang w:eastAsia="zh-CN"/>
        </w:rPr>
        <w:t>。提供</w:t>
      </w:r>
      <w:r>
        <w:rPr>
          <w:rFonts w:hint="eastAsia" w:ascii="宋体" w:hAnsi="宋体" w:eastAsia="宋体" w:cs="Times New Roman"/>
          <w:sz w:val="24"/>
        </w:rPr>
        <w:t>营业执照复印件</w:t>
      </w:r>
      <w:r>
        <w:rPr>
          <w:rFonts w:hint="eastAsia" w:ascii="宋体" w:hAnsi="宋体" w:eastAsia="宋体" w:cs="Times New Roman"/>
          <w:sz w:val="24"/>
          <w:lang w:eastAsia="zh-CN"/>
        </w:rPr>
        <w:t>，</w:t>
      </w:r>
      <w:r>
        <w:rPr>
          <w:rFonts w:hint="eastAsia" w:ascii="宋体" w:hAnsi="宋体" w:eastAsia="宋体" w:cs="Times New Roman"/>
          <w:sz w:val="24"/>
        </w:rPr>
        <w:t>提供法定代表人身份证明书、法定代表人授权委托书</w:t>
      </w:r>
      <w:r>
        <w:rPr>
          <w:rFonts w:hint="eastAsia" w:ascii="宋体" w:hAnsi="宋体" w:cs="Times New Roman"/>
          <w:sz w:val="24"/>
          <w:lang w:eastAsia="zh-CN"/>
        </w:rPr>
        <w:t>。</w:t>
      </w:r>
    </w:p>
    <w:p>
      <w:pPr>
        <w:spacing w:before="60" w:after="240" w:line="440" w:lineRule="exact"/>
        <w:ind w:firstLine="480" w:firstLineChars="200"/>
        <w:jc w:val="both"/>
        <w:outlineLvl w:val="0"/>
        <w:rPr>
          <w:rFonts w:hint="eastAsia" w:ascii="Times New Roman" w:hAnsi="Times New Roman" w:eastAsia="宋体" w:cs="Times New Roman"/>
          <w:sz w:val="24"/>
        </w:rPr>
      </w:pPr>
      <w:r>
        <w:rPr>
          <w:rFonts w:hint="eastAsia" w:ascii="宋体" w:hAnsi="宋体" w:eastAsia="宋体" w:cs="Times New Roman"/>
          <w:sz w:val="24"/>
          <w:lang w:val="en-US" w:eastAsia="zh-CN"/>
        </w:rPr>
        <w:t>2、</w:t>
      </w:r>
      <w:r>
        <w:rPr>
          <w:rFonts w:hint="eastAsia" w:ascii="宋体" w:hAnsi="宋体" w:eastAsia="宋体" w:cs="Times New Roman"/>
          <w:sz w:val="24"/>
        </w:rPr>
        <w:t>具</w:t>
      </w:r>
      <w:r>
        <w:rPr>
          <w:rFonts w:hint="eastAsia" w:ascii="Times New Roman" w:hAnsi="Times New Roman" w:eastAsia="宋体" w:cs="Times New Roman"/>
          <w:sz w:val="24"/>
        </w:rPr>
        <w:t>有良好的商业信誉，在生态环境保护行业内无不良记录</w:t>
      </w:r>
      <w:r>
        <w:rPr>
          <w:rFonts w:hint="eastAsia" w:eastAsia="宋体" w:cs="Times New Roman"/>
          <w:sz w:val="24"/>
          <w:lang w:eastAsia="zh-CN"/>
        </w:rPr>
        <w:t>。</w:t>
      </w:r>
      <w:r>
        <w:rPr>
          <w:rFonts w:hint="eastAsia" w:cs="Times New Roman"/>
          <w:sz w:val="24"/>
          <w:lang w:eastAsia="zh-CN"/>
        </w:rPr>
        <w:t>近</w:t>
      </w:r>
      <w:r>
        <w:rPr>
          <w:rFonts w:hint="eastAsia" w:ascii="Times New Roman" w:hAnsi="Times New Roman" w:eastAsia="宋体" w:cs="Times New Roman"/>
          <w:sz w:val="24"/>
        </w:rPr>
        <w:t>三年内，在参加政府采购活动及经营活动中没有重大违法记录。</w:t>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t>三、</w:t>
      </w:r>
      <w:r>
        <w:rPr>
          <w:rFonts w:hint="eastAsia" w:ascii="宋体" w:hAnsi="宋体" w:cs="宋体"/>
          <w:b/>
          <w:sz w:val="28"/>
          <w:szCs w:val="28"/>
          <w:lang w:eastAsia="zh-CN"/>
        </w:rPr>
        <w:t>服务内容</w:t>
      </w:r>
      <w:r>
        <w:rPr>
          <w:rFonts w:hint="eastAsia" w:ascii="宋体" w:hAnsi="宋体" w:eastAsia="宋体" w:cs="宋体"/>
          <w:b/>
          <w:sz w:val="28"/>
          <w:szCs w:val="28"/>
          <w:lang w:eastAsia="zh-CN"/>
        </w:rPr>
        <w:t>要求：</w:t>
      </w:r>
    </w:p>
    <w:p>
      <w:pPr>
        <w:spacing w:before="60" w:after="240" w:line="440" w:lineRule="exact"/>
        <w:ind w:firstLine="480" w:firstLineChars="200"/>
        <w:jc w:val="both"/>
        <w:outlineLvl w:val="0"/>
        <w:rPr>
          <w:rFonts w:hint="eastAsia" w:ascii="宋体" w:hAnsi="宋体" w:cs="Times New Roman"/>
          <w:sz w:val="24"/>
          <w:lang w:val="en-US" w:eastAsia="zh-CN"/>
        </w:rPr>
      </w:pPr>
      <w:r>
        <w:rPr>
          <w:rFonts w:hint="eastAsia" w:ascii="宋体" w:hAnsi="宋体" w:cs="Times New Roman"/>
          <w:sz w:val="24"/>
          <w:lang w:val="en-US" w:eastAsia="zh-CN"/>
        </w:rPr>
        <w:t>1、服务供应商应需提供网络升级改造相关方案，使网络环境及相关设备满足支</w:t>
      </w:r>
      <w:r>
        <w:rPr>
          <w:rFonts w:hint="eastAsia" w:ascii="宋体" w:hAnsi="宋体" w:eastAsia="宋体" w:cs="Times New Roman"/>
          <w:sz w:val="24"/>
        </w:rPr>
        <w:t>持</w:t>
      </w:r>
      <w:r>
        <w:rPr>
          <w:rFonts w:hint="eastAsia" w:ascii="宋体" w:hAnsi="宋体" w:eastAsia="宋体" w:cs="Times New Roman"/>
          <w:sz w:val="24"/>
          <w:lang w:eastAsia="zh-CN"/>
        </w:rPr>
        <w:t>国标</w:t>
      </w:r>
      <w:r>
        <w:rPr>
          <w:rFonts w:hint="eastAsia" w:ascii="宋体" w:hAnsi="宋体" w:eastAsia="宋体" w:cs="Times New Roman"/>
          <w:sz w:val="24"/>
        </w:rPr>
        <w:t>GB/T 28181-2016或国标GB/T 28181-2022协议</w:t>
      </w:r>
      <w:r>
        <w:rPr>
          <w:rFonts w:hint="eastAsia" w:ascii="宋体" w:hAnsi="宋体" w:cs="Times New Roman"/>
          <w:sz w:val="24"/>
          <w:lang w:eastAsia="zh-CN"/>
        </w:rPr>
        <w:t>，视频流编码支持</w:t>
      </w:r>
      <w:r>
        <w:rPr>
          <w:rFonts w:hint="eastAsia" w:ascii="宋体" w:hAnsi="宋体" w:cs="Times New Roman"/>
          <w:sz w:val="24"/>
          <w:lang w:val="en-US" w:eastAsia="zh-CN"/>
        </w:rPr>
        <w:t>H264和H265，监控画面接入广</w:t>
      </w:r>
      <w:r>
        <w:rPr>
          <w:rFonts w:hint="eastAsia" w:asciiTheme="minorEastAsia" w:hAnsiTheme="minorEastAsia" w:eastAsiaTheme="minorEastAsia" w:cstheme="minorEastAsia"/>
          <w:color w:val="000000"/>
          <w:sz w:val="24"/>
          <w:szCs w:val="24"/>
          <w:lang w:val="en-US" w:eastAsia="zh-CN"/>
        </w:rPr>
        <w:t>东省固体废物环保局监管信息平台，</w:t>
      </w:r>
      <w:r>
        <w:rPr>
          <w:rFonts w:hint="eastAsia" w:ascii="宋体" w:hAnsi="宋体" w:cs="Times New Roman"/>
          <w:sz w:val="24"/>
          <w:lang w:eastAsia="zh-CN"/>
        </w:rPr>
        <w:t>视</w:t>
      </w:r>
      <w:r>
        <w:rPr>
          <w:rFonts w:hint="eastAsia" w:ascii="宋体" w:hAnsi="宋体" w:cs="Times New Roman"/>
          <w:sz w:val="24"/>
          <w:lang w:val="en-US" w:eastAsia="zh-CN"/>
        </w:rPr>
        <w:t>频监控系统支持调阅实时视频和储存回放录像（3个月内），视频监控在线率保障不低于95%</w:t>
      </w:r>
      <w:r>
        <w:rPr>
          <w:rFonts w:hint="eastAsia" w:ascii="宋体" w:hAnsi="宋体" w:eastAsia="宋体" w:cs="Times New Roman"/>
          <w:sz w:val="24"/>
          <w:highlight w:val="none"/>
          <w:lang w:val="en-US" w:eastAsia="zh-CN"/>
        </w:rPr>
        <w:t>（意外断电断网除外）</w:t>
      </w:r>
      <w:r>
        <w:rPr>
          <w:rFonts w:hint="eastAsia" w:ascii="宋体" w:hAnsi="宋体" w:cs="Times New Roman"/>
          <w:sz w:val="24"/>
          <w:lang w:val="en-US" w:eastAsia="zh-CN"/>
        </w:rPr>
        <w:t>。</w:t>
      </w:r>
    </w:p>
    <w:p>
      <w:pPr>
        <w:spacing w:before="60" w:after="240" w:line="440" w:lineRule="exact"/>
        <w:ind w:firstLine="480" w:firstLineChars="200"/>
        <w:jc w:val="both"/>
        <w:outlineLvl w:val="0"/>
        <w:rPr>
          <w:rFonts w:hint="eastAsia" w:ascii="宋体" w:hAnsi="宋体" w:eastAsia="宋体" w:cs="宋体"/>
          <w:b w:val="0"/>
          <w:bCs w:val="0"/>
          <w:i w:val="0"/>
          <w:iCs w:val="0"/>
          <w:color w:val="000000"/>
          <w:spacing w:val="0"/>
          <w:w w:val="100"/>
          <w:sz w:val="24"/>
          <w:szCs w:val="24"/>
          <w:vertAlign w:val="baseline"/>
          <w:lang w:eastAsia="zh-CN"/>
        </w:rPr>
      </w:pPr>
      <w:r>
        <w:rPr>
          <w:rFonts w:hint="eastAsia" w:ascii="宋体" w:hAnsi="宋体" w:cs="Times New Roman"/>
          <w:sz w:val="24"/>
          <w:lang w:val="en-US" w:eastAsia="zh-CN"/>
        </w:rPr>
        <w:t>2、在满足网络接入条件后服务供应商根据实际情况选</w:t>
      </w:r>
      <w:r>
        <w:rPr>
          <w:rFonts w:hint="eastAsia" w:cs="Times New Roman"/>
          <w:sz w:val="24"/>
          <w:lang w:val="en-US" w:eastAsia="zh-CN"/>
        </w:rPr>
        <w:t>择摄像头接入省平台方式：视频平台接入、</w:t>
      </w:r>
      <w:r>
        <w:rPr>
          <w:rFonts w:hint="eastAsia" w:ascii="宋体" w:hAnsi="宋体" w:eastAsia="宋体" w:cs="宋体"/>
          <w:b w:val="0"/>
          <w:bCs w:val="0"/>
          <w:i w:val="0"/>
          <w:iCs w:val="0"/>
          <w:color w:val="000000"/>
          <w:spacing w:val="0"/>
          <w:w w:val="100"/>
          <w:sz w:val="24"/>
          <w:szCs w:val="24"/>
          <w:vertAlign w:val="baseline"/>
        </w:rPr>
        <w:t>录像机NVR接入</w:t>
      </w:r>
      <w:r>
        <w:rPr>
          <w:rFonts w:hint="eastAsia" w:ascii="宋体" w:hAnsi="宋体" w:eastAsia="宋体" w:cs="宋体"/>
          <w:b w:val="0"/>
          <w:bCs w:val="0"/>
          <w:i w:val="0"/>
          <w:iCs w:val="0"/>
          <w:color w:val="000000"/>
          <w:spacing w:val="0"/>
          <w:w w:val="100"/>
          <w:sz w:val="24"/>
          <w:szCs w:val="24"/>
          <w:vertAlign w:val="baseline"/>
          <w:lang w:eastAsia="zh-CN"/>
        </w:rPr>
        <w:t>或</w:t>
      </w:r>
      <w:r>
        <w:rPr>
          <w:rFonts w:hint="eastAsia" w:ascii="宋体" w:hAnsi="宋体" w:eastAsia="宋体" w:cs="宋体"/>
          <w:b w:val="0"/>
          <w:bCs w:val="0"/>
          <w:i w:val="0"/>
          <w:iCs w:val="0"/>
          <w:color w:val="000000"/>
          <w:spacing w:val="0"/>
          <w:w w:val="100"/>
          <w:sz w:val="24"/>
          <w:szCs w:val="24"/>
          <w:vertAlign w:val="baseline"/>
        </w:rPr>
        <w:t>摄像机IPC接入</w:t>
      </w:r>
      <w:r>
        <w:rPr>
          <w:rFonts w:hint="eastAsia" w:ascii="宋体" w:hAnsi="宋体" w:eastAsia="宋体" w:cs="宋体"/>
          <w:b w:val="0"/>
          <w:bCs w:val="0"/>
          <w:i w:val="0"/>
          <w:iCs w:val="0"/>
          <w:color w:val="000000"/>
          <w:spacing w:val="0"/>
          <w:w w:val="100"/>
          <w:sz w:val="24"/>
          <w:szCs w:val="24"/>
          <w:vertAlign w:val="baseline"/>
          <w:lang w:eastAsia="zh-CN"/>
        </w:rPr>
        <w:t>。协助服务需求方填写相关接入申请表格及视频监控点位共享清单。</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eastAsia" w:asciiTheme="minorEastAsia" w:hAnsiTheme="minorEastAsia" w:eastAsiaTheme="minorEastAsia" w:cstheme="minorEastAsia"/>
          <w:color w:val="000000"/>
          <w:sz w:val="24"/>
          <w:szCs w:val="24"/>
          <w:lang w:val="en-US" w:eastAsia="zh-CN"/>
        </w:rPr>
      </w:pPr>
      <w:r>
        <w:rPr>
          <w:rFonts w:hint="eastAsia" w:ascii="宋体" w:hAnsi="宋体" w:eastAsia="宋体" w:cs="宋体"/>
          <w:b w:val="0"/>
          <w:bCs w:val="0"/>
          <w:i w:val="0"/>
          <w:iCs w:val="0"/>
          <w:color w:val="000000"/>
          <w:spacing w:val="0"/>
          <w:w w:val="100"/>
          <w:sz w:val="24"/>
          <w:szCs w:val="24"/>
          <w:vertAlign w:val="baseline"/>
          <w:lang w:val="en-US" w:eastAsia="zh-CN"/>
        </w:rPr>
        <w:t>3、在视频接入平台后，服务供应商与</w:t>
      </w:r>
      <w:r>
        <w:rPr>
          <w:rFonts w:hint="eastAsia" w:asciiTheme="minorEastAsia" w:hAnsiTheme="minorEastAsia" w:eastAsiaTheme="minorEastAsia" w:cstheme="minorEastAsia"/>
          <w:color w:val="000000"/>
          <w:sz w:val="24"/>
          <w:szCs w:val="24"/>
          <w:lang w:val="en-US" w:eastAsia="zh-CN"/>
        </w:rPr>
        <w:t>广东省固体废物环保局监管信息平台联调，确保画面正确显示。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eastAsia="宋体" w:cs="Times New Roman"/>
          <w:sz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4、</w:t>
      </w:r>
      <w:r>
        <w:rPr>
          <w:rFonts w:hint="eastAsia" w:eastAsia="宋体" w:cs="Times New Roman"/>
          <w:sz w:val="24"/>
          <w:highlight w:val="none"/>
          <w:lang w:val="en-US" w:eastAsia="zh-CN"/>
        </w:rPr>
        <w:t>现场视频监控</w:t>
      </w:r>
      <w:r>
        <w:rPr>
          <w:rFonts w:hint="eastAsia" w:cs="Times New Roman"/>
          <w:sz w:val="24"/>
          <w:highlight w:val="none"/>
          <w:lang w:val="en-US" w:eastAsia="zh-CN"/>
        </w:rPr>
        <w:t>设备</w:t>
      </w:r>
      <w:r>
        <w:rPr>
          <w:rFonts w:hint="eastAsia" w:eastAsia="宋体" w:cs="Times New Roman"/>
          <w:sz w:val="24"/>
          <w:highlight w:val="none"/>
          <w:lang w:val="en-US" w:eastAsia="zh-CN"/>
        </w:rPr>
        <w:t>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（1）具备低照度环境下捕影的功能或夜视功能；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（2）图像分辨率不低于 200 万（1920x1080）像素，图像帧率不低于 25 帧/秒；</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（3）视频监控应具备国家标准的数据无线传输功能，可以自动传输视频、图像、设备、报警等信息；支持远程调焦、聚焦、调整光圈等功能；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（4）每一个摄像头均有管理视频服务器的功能；视频服务器或硬盘录像机应具有多通道、录像与回放等功能；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（5）须配备智能视频存储设备，满足视频监控影像本地全天存储至少90天，支持监管平台对监控现场视频进行调阅、截图等；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配备包括硬盘录像机、智能视频存储设备、网络传输设备、网络等配套设施</w:t>
      </w:r>
      <w:r>
        <w:rPr>
          <w:rFonts w:hint="eastAsia" w:ascii="宋体" w:hAnsi="宋体" w:cs="Times New Roman"/>
          <w:sz w:val="24"/>
          <w:highlight w:val="none"/>
          <w:lang w:val="en-US" w:eastAsia="zh-CN"/>
        </w:rPr>
        <w:t>，部分设备品牌型号要求如下：</w:t>
      </w:r>
    </w:p>
    <w:tbl>
      <w:tblPr>
        <w:tblStyle w:val="6"/>
        <w:tblW w:w="8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2181"/>
        <w:gridCol w:w="1284"/>
        <w:gridCol w:w="1719"/>
        <w:gridCol w:w="1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77"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2"/>
                <w:szCs w:val="28"/>
                <w:vertAlign w:val="baseline"/>
                <w:lang w:val="en-US" w:eastAsia="zh-CN" w:bidi="ar-SA"/>
              </w:rPr>
            </w:pPr>
            <w:r>
              <w:rPr>
                <w:rFonts w:hint="eastAsia" w:asciiTheme="minorEastAsia" w:hAnsiTheme="minorEastAsia" w:eastAsiaTheme="minorEastAsia" w:cstheme="minorEastAsia"/>
                <w:sz w:val="22"/>
                <w:szCs w:val="28"/>
                <w:vertAlign w:val="baseline"/>
                <w:lang w:eastAsia="zh-CN"/>
              </w:rPr>
              <w:t>序号</w:t>
            </w:r>
          </w:p>
        </w:tc>
        <w:tc>
          <w:tcPr>
            <w:tcW w:w="2181"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2"/>
                <w:szCs w:val="28"/>
                <w:vertAlign w:val="baseline"/>
                <w:lang w:val="en-US" w:eastAsia="zh-CN" w:bidi="ar-SA"/>
              </w:rPr>
            </w:pPr>
            <w:r>
              <w:rPr>
                <w:rFonts w:hint="eastAsia"/>
                <w:sz w:val="22"/>
                <w:szCs w:val="28"/>
                <w:vertAlign w:val="baseline"/>
                <w:lang w:eastAsia="zh-CN"/>
              </w:rPr>
              <w:t>名称</w:t>
            </w:r>
          </w:p>
        </w:tc>
        <w:tc>
          <w:tcPr>
            <w:tcW w:w="1284"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2"/>
                <w:szCs w:val="28"/>
                <w:vertAlign w:val="baseline"/>
                <w:lang w:val="en-US" w:eastAsia="zh-CN" w:bidi="ar-SA"/>
              </w:rPr>
            </w:pPr>
            <w:r>
              <w:rPr>
                <w:rFonts w:hint="eastAsia"/>
                <w:sz w:val="22"/>
                <w:szCs w:val="28"/>
                <w:vertAlign w:val="baseline"/>
                <w:lang w:eastAsia="zh-CN"/>
              </w:rPr>
              <w:t>品牌</w:t>
            </w:r>
          </w:p>
        </w:tc>
        <w:tc>
          <w:tcPr>
            <w:tcW w:w="1719"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2"/>
                <w:szCs w:val="28"/>
                <w:vertAlign w:val="baseline"/>
                <w:lang w:val="en-US" w:eastAsia="zh-CN" w:bidi="ar-SA"/>
              </w:rPr>
            </w:pPr>
            <w:r>
              <w:rPr>
                <w:rFonts w:hint="eastAsia"/>
                <w:sz w:val="22"/>
                <w:szCs w:val="28"/>
                <w:vertAlign w:val="baseline"/>
                <w:lang w:eastAsia="zh-CN"/>
              </w:rPr>
              <w:t>型号</w:t>
            </w:r>
          </w:p>
        </w:tc>
        <w:tc>
          <w:tcPr>
            <w:tcW w:w="1950"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2"/>
                <w:szCs w:val="28"/>
                <w:vertAlign w:val="baseline"/>
                <w:lang w:val="en-US" w:eastAsia="zh-CN" w:bidi="ar-SA"/>
              </w:rPr>
            </w:pPr>
            <w:r>
              <w:rPr>
                <w:rFonts w:hint="eastAsia"/>
                <w:sz w:val="22"/>
                <w:szCs w:val="28"/>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77"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sz w:val="22"/>
                <w:szCs w:val="28"/>
                <w:vertAlign w:val="baseline"/>
                <w:lang w:val="en-US" w:eastAsia="zh-CN"/>
              </w:rPr>
            </w:pPr>
            <w:r>
              <w:rPr>
                <w:rFonts w:hint="eastAsia" w:asciiTheme="minorEastAsia" w:hAnsiTheme="minorEastAsia" w:eastAsiaTheme="minorEastAsia" w:cstheme="minorEastAsia"/>
                <w:sz w:val="22"/>
                <w:szCs w:val="28"/>
                <w:vertAlign w:val="baseline"/>
                <w:lang w:val="en-US" w:eastAsia="zh-CN"/>
              </w:rPr>
              <w:t>1</w:t>
            </w:r>
          </w:p>
        </w:tc>
        <w:tc>
          <w:tcPr>
            <w:tcW w:w="2181"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sz w:val="22"/>
                <w:szCs w:val="28"/>
                <w:vertAlign w:val="baseline"/>
                <w:lang w:eastAsia="zh-CN"/>
              </w:rPr>
            </w:pPr>
            <w:r>
              <w:rPr>
                <w:rFonts w:hint="eastAsia" w:asciiTheme="minorEastAsia" w:hAnsiTheme="minorEastAsia" w:eastAsiaTheme="minorEastAsia" w:cstheme="minorEastAsia"/>
                <w:sz w:val="22"/>
                <w:szCs w:val="28"/>
                <w:vertAlign w:val="baseline"/>
                <w:lang w:eastAsia="zh-CN"/>
              </w:rPr>
              <w:t>摄像机</w:t>
            </w:r>
          </w:p>
        </w:tc>
        <w:tc>
          <w:tcPr>
            <w:tcW w:w="1284" w:type="dxa"/>
            <w:noWrap w:val="0"/>
            <w:vAlign w:val="center"/>
          </w:tcPr>
          <w:p>
            <w:pPr>
              <w:keepNext w:val="0"/>
              <w:keepLines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2"/>
                <w:szCs w:val="28"/>
                <w:vertAlign w:val="baseline"/>
                <w:lang w:val="en-US" w:eastAsia="zh-CN" w:bidi="ar-SA"/>
              </w:rPr>
            </w:pPr>
            <w:r>
              <w:rPr>
                <w:rFonts w:hint="eastAsia" w:asciiTheme="minorEastAsia" w:hAnsiTheme="minorEastAsia" w:eastAsiaTheme="minorEastAsia" w:cstheme="minorEastAsia"/>
                <w:sz w:val="22"/>
                <w:szCs w:val="28"/>
                <w:vertAlign w:val="baseline"/>
              </w:rPr>
              <w:t>海康威视</w:t>
            </w:r>
          </w:p>
        </w:tc>
        <w:tc>
          <w:tcPr>
            <w:tcW w:w="1719" w:type="dxa"/>
            <w:noWrap w:val="0"/>
            <w:vAlign w:val="center"/>
          </w:tcPr>
          <w:p>
            <w:pPr>
              <w:keepNext w:val="0"/>
              <w:keepLines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2"/>
                <w:szCs w:val="28"/>
                <w:vertAlign w:val="baseline"/>
                <w:lang w:val="en-US" w:eastAsia="zh-CN" w:bidi="ar-SA"/>
              </w:rPr>
            </w:pPr>
            <w:r>
              <w:rPr>
                <w:rFonts w:hint="eastAsia" w:asciiTheme="minorEastAsia" w:hAnsiTheme="minorEastAsia" w:eastAsiaTheme="minorEastAsia" w:cstheme="minorEastAsia"/>
                <w:vertAlign w:val="baseline"/>
                <w:lang w:val="en-US" w:eastAsia="zh-CN"/>
              </w:rPr>
              <w:t>DS-IPC-T12HV3-LA</w:t>
            </w:r>
          </w:p>
        </w:tc>
        <w:tc>
          <w:tcPr>
            <w:tcW w:w="1950"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sz w:val="22"/>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77"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sz w:val="22"/>
                <w:szCs w:val="28"/>
                <w:vertAlign w:val="baseline"/>
                <w:lang w:val="en-US" w:eastAsia="zh-CN"/>
              </w:rPr>
            </w:pPr>
            <w:r>
              <w:rPr>
                <w:rFonts w:hint="eastAsia" w:asciiTheme="minorEastAsia" w:hAnsiTheme="minorEastAsia" w:eastAsiaTheme="minorEastAsia" w:cstheme="minorEastAsia"/>
                <w:sz w:val="22"/>
                <w:szCs w:val="28"/>
                <w:vertAlign w:val="baseline"/>
                <w:lang w:val="en-US" w:eastAsia="zh-CN"/>
              </w:rPr>
              <w:t>2</w:t>
            </w:r>
          </w:p>
        </w:tc>
        <w:tc>
          <w:tcPr>
            <w:tcW w:w="2181" w:type="dxa"/>
            <w:noWrap w:val="0"/>
            <w:vAlign w:val="center"/>
          </w:tcPr>
          <w:p>
            <w:pPr>
              <w:keepNext w:val="0"/>
              <w:keepLines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2"/>
                <w:szCs w:val="28"/>
                <w:vertAlign w:val="baseline"/>
                <w:lang w:eastAsia="zh-CN"/>
              </w:rPr>
            </w:pPr>
            <w:r>
              <w:rPr>
                <w:rFonts w:hint="eastAsia" w:asciiTheme="minorEastAsia" w:hAnsiTheme="minorEastAsia" w:eastAsiaTheme="minorEastAsia" w:cstheme="minorEastAsia"/>
                <w:sz w:val="22"/>
                <w:szCs w:val="28"/>
                <w:vertAlign w:val="baseline"/>
                <w:lang w:val="en-US" w:eastAsia="zh-CN"/>
              </w:rPr>
              <w:t>硬盘录像机</w:t>
            </w:r>
          </w:p>
        </w:tc>
        <w:tc>
          <w:tcPr>
            <w:tcW w:w="1284" w:type="dxa"/>
            <w:noWrap w:val="0"/>
            <w:vAlign w:val="center"/>
          </w:tcPr>
          <w:p>
            <w:pPr>
              <w:keepNext w:val="0"/>
              <w:keepLines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2"/>
                <w:szCs w:val="28"/>
                <w:vertAlign w:val="baseline"/>
                <w:lang w:eastAsia="zh-CN"/>
              </w:rPr>
            </w:pPr>
            <w:r>
              <w:rPr>
                <w:rFonts w:hint="eastAsia" w:asciiTheme="minorEastAsia" w:hAnsiTheme="minorEastAsia" w:eastAsiaTheme="minorEastAsia" w:cstheme="minorEastAsia"/>
                <w:sz w:val="22"/>
                <w:szCs w:val="28"/>
                <w:vertAlign w:val="baseline"/>
              </w:rPr>
              <w:t>海康威视</w:t>
            </w:r>
          </w:p>
        </w:tc>
        <w:tc>
          <w:tcPr>
            <w:tcW w:w="1719" w:type="dxa"/>
            <w:noWrap w:val="0"/>
            <w:vAlign w:val="center"/>
          </w:tcPr>
          <w:p>
            <w:pPr>
              <w:keepNext w:val="0"/>
              <w:keepLines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sz w:val="22"/>
                <w:szCs w:val="28"/>
                <w:vertAlign w:val="baseline"/>
                <w:lang w:eastAsia="zh-CN"/>
              </w:rPr>
            </w:pPr>
            <w:r>
              <w:rPr>
                <w:rFonts w:hint="eastAsia" w:asciiTheme="minorEastAsia" w:hAnsiTheme="minorEastAsia" w:eastAsiaTheme="minorEastAsia" w:cstheme="minorEastAsia"/>
                <w:sz w:val="22"/>
                <w:szCs w:val="28"/>
                <w:vertAlign w:val="baseline"/>
                <w:lang w:val="en-US" w:eastAsia="zh-CN"/>
              </w:rPr>
              <w:t>7808N-Q2</w:t>
            </w:r>
          </w:p>
        </w:tc>
        <w:tc>
          <w:tcPr>
            <w:tcW w:w="1950"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sz w:val="22"/>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877" w:type="dxa"/>
            <w:noWrap w:val="0"/>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sz w:val="22"/>
                <w:szCs w:val="28"/>
                <w:vertAlign w:val="baseline"/>
                <w:lang w:val="en-US" w:eastAsia="zh-CN"/>
              </w:rPr>
            </w:pPr>
            <w:r>
              <w:rPr>
                <w:rFonts w:hint="eastAsia" w:asciiTheme="minorEastAsia" w:hAnsiTheme="minorEastAsia" w:eastAsiaTheme="minorEastAsia" w:cstheme="minorEastAsia"/>
                <w:sz w:val="22"/>
                <w:szCs w:val="28"/>
                <w:vertAlign w:val="baseline"/>
                <w:lang w:val="en-US" w:eastAsia="zh-CN"/>
              </w:rPr>
              <w:t>3</w:t>
            </w:r>
          </w:p>
        </w:tc>
        <w:tc>
          <w:tcPr>
            <w:tcW w:w="2181"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sz w:val="22"/>
                <w:szCs w:val="28"/>
                <w:vertAlign w:val="baseline"/>
                <w:lang w:eastAsia="zh-CN"/>
              </w:rPr>
            </w:pPr>
            <w:r>
              <w:rPr>
                <w:rFonts w:hint="eastAsia" w:asciiTheme="minorEastAsia" w:hAnsiTheme="minorEastAsia" w:eastAsiaTheme="minorEastAsia" w:cstheme="minorEastAsia"/>
                <w:sz w:val="22"/>
                <w:szCs w:val="28"/>
                <w:vertAlign w:val="baseline"/>
                <w:lang w:eastAsia="zh-CN"/>
              </w:rPr>
              <w:t>企业监控硬盘</w:t>
            </w:r>
          </w:p>
        </w:tc>
        <w:tc>
          <w:tcPr>
            <w:tcW w:w="1284" w:type="dxa"/>
            <w:noWrap w:val="0"/>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sz w:val="22"/>
                <w:szCs w:val="28"/>
                <w:vertAlign w:val="baseline"/>
                <w:lang w:val="en-US" w:eastAsia="zh-CN"/>
              </w:rPr>
            </w:pPr>
            <w:r>
              <w:rPr>
                <w:rFonts w:hint="eastAsia" w:asciiTheme="minorEastAsia" w:hAnsiTheme="minorEastAsia" w:eastAsiaTheme="minorEastAsia" w:cstheme="minorEastAsia"/>
                <w:sz w:val="22"/>
                <w:szCs w:val="28"/>
                <w:vertAlign w:val="baseline"/>
                <w:lang w:eastAsia="zh-CN"/>
              </w:rPr>
              <w:t>西数</w:t>
            </w:r>
            <w:r>
              <w:rPr>
                <w:rFonts w:hint="eastAsia" w:asciiTheme="minorEastAsia" w:hAnsiTheme="minorEastAsia" w:eastAsiaTheme="minorEastAsia" w:cstheme="minorEastAsia"/>
                <w:sz w:val="22"/>
                <w:szCs w:val="28"/>
                <w:vertAlign w:val="baseline"/>
                <w:lang w:val="en-US" w:eastAsia="zh-CN"/>
              </w:rPr>
              <w:t>/希捷</w:t>
            </w:r>
          </w:p>
        </w:tc>
        <w:tc>
          <w:tcPr>
            <w:tcW w:w="1719" w:type="dxa"/>
            <w:noWrap w:val="0"/>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sz w:val="22"/>
                <w:szCs w:val="28"/>
                <w:vertAlign w:val="baseline"/>
                <w:lang w:val="en-US" w:eastAsia="zh-CN"/>
              </w:rPr>
            </w:pPr>
            <w:r>
              <w:rPr>
                <w:rFonts w:hint="eastAsia" w:asciiTheme="minorEastAsia" w:hAnsiTheme="minorEastAsia" w:eastAsiaTheme="minorEastAsia" w:cstheme="minorEastAsia"/>
                <w:sz w:val="22"/>
                <w:szCs w:val="28"/>
                <w:vertAlign w:val="baseline"/>
                <w:lang w:val="en-US" w:eastAsia="zh-CN"/>
              </w:rPr>
              <w:t>/</w:t>
            </w:r>
          </w:p>
        </w:tc>
        <w:tc>
          <w:tcPr>
            <w:tcW w:w="195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Theme="minorEastAsia" w:hAnsiTheme="minorEastAsia" w:eastAsiaTheme="minorEastAsia" w:cstheme="minorEastAsia"/>
                <w:sz w:val="22"/>
                <w:szCs w:val="28"/>
                <w:vertAlign w:val="baseline"/>
                <w:lang w:val="en-US" w:eastAsia="zh-CN"/>
              </w:rPr>
            </w:pPr>
            <w:r>
              <w:rPr>
                <w:rFonts w:hint="eastAsia" w:asciiTheme="minorEastAsia" w:hAnsiTheme="minorEastAsia" w:eastAsiaTheme="minorEastAsia" w:cstheme="minorEastAsia"/>
                <w:sz w:val="22"/>
                <w:szCs w:val="28"/>
                <w:vertAlign w:val="baseline"/>
                <w:lang w:val="en-US" w:eastAsia="zh-CN"/>
              </w:rPr>
              <w:t>品牌选择</w:t>
            </w:r>
            <w:r>
              <w:rPr>
                <w:rFonts w:hint="eastAsia" w:asciiTheme="minorEastAsia" w:hAnsiTheme="minorEastAsia" w:eastAsiaTheme="minorEastAsia" w:cstheme="minorEastAsia"/>
                <w:sz w:val="22"/>
                <w:szCs w:val="28"/>
                <w:vertAlign w:val="baseline"/>
                <w:lang w:eastAsia="zh-CN"/>
              </w:rPr>
              <w:t>西数</w:t>
            </w:r>
            <w:r>
              <w:rPr>
                <w:rFonts w:hint="eastAsia" w:asciiTheme="minorEastAsia" w:hAnsiTheme="minorEastAsia" w:eastAsiaTheme="minorEastAsia" w:cstheme="minorEastAsia"/>
                <w:sz w:val="22"/>
                <w:szCs w:val="28"/>
                <w:vertAlign w:val="baseline"/>
                <w:lang w:val="en-US" w:eastAsia="zh-CN"/>
              </w:rPr>
              <w:t>/希捷其中之一，总容量不小于12T</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（7）室外摄像头需配备防雷措施或者有雷电引起的故障免费维修或更换；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5、监控点位需求及现场图片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default" w:ascii="宋体" w:hAnsi="宋体" w:cs="Times New Roman"/>
          <w:sz w:val="24"/>
          <w:highlight w:val="none"/>
          <w:lang w:val="en-US" w:eastAsia="zh-CN"/>
        </w:rPr>
      </w:pPr>
      <w:r>
        <w:rPr>
          <w:rFonts w:hint="eastAsia" w:ascii="宋体" w:hAnsi="宋体" w:cs="Times New Roman"/>
          <w:sz w:val="24"/>
          <w:highlight w:val="none"/>
          <w:lang w:val="en-US" w:eastAsia="zh-CN"/>
        </w:rPr>
        <w:t>共计六个监控点位，详细点位如下：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（1）危废产生环节（共计两个点位）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10" w:firstLineChars="100"/>
        <w:jc w:val="both"/>
        <w:textAlignment w:val="auto"/>
        <w:rPr>
          <w:rFonts w:hint="eastAsia" w:ascii="宋体" w:hAnsi="宋体" w:cs="Times New Roman"/>
          <w:sz w:val="24"/>
          <w:highlight w:val="none"/>
          <w:lang w:val="en-US" w:eastAsia="zh-CN"/>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202565</wp:posOffset>
            </wp:positionH>
            <wp:positionV relativeFrom="paragraph">
              <wp:posOffset>340995</wp:posOffset>
            </wp:positionV>
            <wp:extent cx="4752340" cy="3564255"/>
            <wp:effectExtent l="0" t="0" r="10160" b="17145"/>
            <wp:wrapTopAndBottom/>
            <wp:docPr id="13" name="图片 13" descr="18be1b4d9003967f5a360f1fc9e2e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8be1b4d9003967f5a360f1fc9e2e55"/>
                    <pic:cNvPicPr>
                      <a:picLocks noChangeAspect="1"/>
                    </pic:cNvPicPr>
                  </pic:nvPicPr>
                  <pic:blipFill>
                    <a:blip r:embed="rId4"/>
                    <a:stretch>
                      <a:fillRect/>
                    </a:stretch>
                  </pic:blipFill>
                  <pic:spPr>
                    <a:xfrm>
                      <a:off x="0" y="0"/>
                      <a:ext cx="4752340" cy="3564255"/>
                    </a:xfrm>
                    <a:prstGeom prst="rect">
                      <a:avLst/>
                    </a:prstGeom>
                  </pic:spPr>
                </pic:pic>
              </a:graphicData>
            </a:graphic>
          </wp:anchor>
        </w:drawing>
      </w:r>
      <w:r>
        <w:rPr>
          <w:rFonts w:hint="eastAsia" w:ascii="宋体" w:hAnsi="宋体" w:cs="Times New Roman"/>
          <w:sz w:val="24"/>
          <w:highlight w:val="none"/>
          <w:lang w:val="en-US" w:eastAsia="zh-CN"/>
        </w:rPr>
        <w:t>点位一：位于中心污水处理站压滤机，覆盖压滤车间全貌；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点位二：在线检测房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default" w:ascii="宋体" w:hAnsi="宋体" w:cs="Times New Roman"/>
          <w:sz w:val="24"/>
          <w:highlight w:val="none"/>
          <w:lang w:val="en-US" w:eastAsia="zh-CN"/>
        </w:rPr>
      </w:pPr>
      <w:r>
        <w:rPr>
          <w:rFonts w:hint="default" w:ascii="宋体" w:hAnsi="宋体" w:cs="Times New Roman"/>
          <w:sz w:val="24"/>
          <w:highlight w:val="none"/>
          <w:lang w:val="en-US" w:eastAsia="zh-CN"/>
        </w:rPr>
        <w:drawing>
          <wp:anchor distT="0" distB="0" distL="114300" distR="114300" simplePos="0" relativeHeight="251666432" behindDoc="0" locked="0" layoutInCell="1" allowOverlap="1">
            <wp:simplePos x="0" y="0"/>
            <wp:positionH relativeFrom="column">
              <wp:posOffset>256540</wp:posOffset>
            </wp:positionH>
            <wp:positionV relativeFrom="paragraph">
              <wp:posOffset>113030</wp:posOffset>
            </wp:positionV>
            <wp:extent cx="4754245" cy="3564255"/>
            <wp:effectExtent l="0" t="0" r="8255" b="17145"/>
            <wp:wrapTopAndBottom/>
            <wp:docPr id="1" name="图片 1" descr="2f3996ecce3868044bba29cba0b6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f3996ecce3868044bba29cba0b62f0"/>
                    <pic:cNvPicPr>
                      <a:picLocks noChangeAspect="1"/>
                    </pic:cNvPicPr>
                  </pic:nvPicPr>
                  <pic:blipFill>
                    <a:blip r:embed="rId5"/>
                    <a:stretch>
                      <a:fillRect/>
                    </a:stretch>
                  </pic:blipFill>
                  <pic:spPr>
                    <a:xfrm>
                      <a:off x="0" y="0"/>
                      <a:ext cx="4754245" cy="3564255"/>
                    </a:xfrm>
                    <a:prstGeom prst="rect">
                      <a:avLst/>
                    </a:prstGeom>
                  </pic:spPr>
                </pic:pic>
              </a:graphicData>
            </a:graphic>
          </wp:anchor>
        </w:drawing>
      </w:r>
    </w:p>
    <w:p>
      <w:pPr>
        <w:keepNext w:val="0"/>
        <w:keepLines w:val="0"/>
        <w:pageBreakBefore w:val="0"/>
        <w:widowControl/>
        <w:suppressLineNumbers w:val="0"/>
        <w:kinsoku/>
        <w:wordWrap/>
        <w:overflowPunct/>
        <w:topLinePunct w:val="0"/>
        <w:autoSpaceDE/>
        <w:autoSpaceDN/>
        <w:bidi w:val="0"/>
        <w:adjustRightInd/>
        <w:snapToGrid/>
        <w:spacing w:line="440" w:lineRule="exact"/>
        <w:ind w:firstLine="210" w:firstLineChars="100"/>
        <w:jc w:val="left"/>
        <w:textAlignment w:val="auto"/>
        <w:rPr>
          <w:rFonts w:hint="eastAsia" w:ascii="宋体" w:hAnsi="宋体" w:eastAsia="宋体" w:cs="Times New Roman"/>
          <w:sz w:val="24"/>
          <w:highlight w:val="none"/>
          <w:lang w:val="en-US" w:eastAsia="zh-CN"/>
        </w:rPr>
      </w:pPr>
      <w:r>
        <w:rPr>
          <w:rFonts w:hint="eastAsia" w:eastAsiaTheme="minorEastAsia"/>
          <w:lang w:eastAsia="zh-CN"/>
        </w:rPr>
        <w:drawing>
          <wp:anchor distT="0" distB="0" distL="114300" distR="114300" simplePos="0" relativeHeight="251660288" behindDoc="0" locked="0" layoutInCell="1" allowOverlap="1">
            <wp:simplePos x="0" y="0"/>
            <wp:positionH relativeFrom="column">
              <wp:posOffset>87630</wp:posOffset>
            </wp:positionH>
            <wp:positionV relativeFrom="paragraph">
              <wp:posOffset>410845</wp:posOffset>
            </wp:positionV>
            <wp:extent cx="4752975" cy="3564255"/>
            <wp:effectExtent l="0" t="0" r="9525" b="17145"/>
            <wp:wrapTopAndBottom/>
            <wp:docPr id="14" name="图片 14" descr="2b22719faae2b30d503c398e6c501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b22719faae2b30d503c398e6c501be"/>
                    <pic:cNvPicPr>
                      <a:picLocks noChangeAspect="1"/>
                    </pic:cNvPicPr>
                  </pic:nvPicPr>
                  <pic:blipFill>
                    <a:blip r:embed="rId6"/>
                    <a:stretch>
                      <a:fillRect/>
                    </a:stretch>
                  </pic:blipFill>
                  <pic:spPr>
                    <a:xfrm>
                      <a:off x="0" y="0"/>
                      <a:ext cx="4752975" cy="3564255"/>
                    </a:xfrm>
                    <a:prstGeom prst="rect">
                      <a:avLst/>
                    </a:prstGeom>
                  </pic:spPr>
                </pic:pic>
              </a:graphicData>
            </a:graphic>
          </wp:anchor>
        </w:drawing>
      </w:r>
      <w:r>
        <w:rPr>
          <w:rFonts w:hint="eastAsia" w:ascii="宋体" w:hAnsi="宋体" w:cs="Times New Roman"/>
          <w:sz w:val="24"/>
          <w:highlight w:val="none"/>
          <w:lang w:val="en-US" w:eastAsia="zh-CN"/>
        </w:rPr>
        <w:t>点位三：</w:t>
      </w:r>
      <w:r>
        <w:rPr>
          <w:rFonts w:hint="eastAsia" w:ascii="宋体" w:hAnsi="宋体" w:eastAsia="宋体" w:cs="Times New Roman"/>
          <w:sz w:val="24"/>
          <w:highlight w:val="none"/>
          <w:lang w:val="en-US" w:eastAsia="zh-CN"/>
        </w:rPr>
        <w:t>对准危废打包、装袋操作工位，覆盖废物打包区域。</w:t>
      </w:r>
    </w:p>
    <w:p>
      <w:pPr>
        <w:keepNext w:val="0"/>
        <w:keepLines w:val="0"/>
        <w:pageBreakBefore w:val="0"/>
        <w:widowControl/>
        <w:suppressLineNumbers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（2）危废贮存环节（共计</w:t>
      </w:r>
      <w:r>
        <w:rPr>
          <w:rFonts w:hint="eastAsia" w:ascii="宋体" w:hAnsi="宋体" w:cs="Times New Roman"/>
          <w:sz w:val="24"/>
          <w:highlight w:val="none"/>
          <w:lang w:val="en-US" w:eastAsia="zh-CN"/>
        </w:rPr>
        <w:t>两</w:t>
      </w:r>
      <w:r>
        <w:rPr>
          <w:rFonts w:hint="eastAsia" w:ascii="宋体" w:hAnsi="宋体" w:eastAsia="宋体" w:cs="Times New Roman"/>
          <w:sz w:val="24"/>
          <w:highlight w:val="none"/>
          <w:lang w:val="en-US" w:eastAsia="zh-CN"/>
        </w:rPr>
        <w:t>个点位）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10" w:firstLineChars="100"/>
        <w:jc w:val="both"/>
        <w:textAlignment w:val="auto"/>
        <w:rPr>
          <w:rFonts w:hint="eastAsia" w:ascii="宋体" w:hAnsi="宋体" w:cs="Times New Roman"/>
          <w:sz w:val="24"/>
          <w:highlight w:val="none"/>
          <w:lang w:val="en-US" w:eastAsia="zh-CN"/>
        </w:rPr>
      </w:pPr>
      <w:r>
        <w:rPr>
          <w:rFonts w:hint="eastAsia" w:eastAsiaTheme="minorEastAsia"/>
          <w:lang w:eastAsia="zh-CN"/>
        </w:rPr>
        <w:drawing>
          <wp:anchor distT="0" distB="0" distL="114300" distR="114300" simplePos="0" relativeHeight="251661312" behindDoc="0" locked="0" layoutInCell="1" allowOverlap="1">
            <wp:simplePos x="0" y="0"/>
            <wp:positionH relativeFrom="column">
              <wp:posOffset>97155</wp:posOffset>
            </wp:positionH>
            <wp:positionV relativeFrom="paragraph">
              <wp:posOffset>718185</wp:posOffset>
            </wp:positionV>
            <wp:extent cx="4752975" cy="3564255"/>
            <wp:effectExtent l="0" t="0" r="9525" b="17145"/>
            <wp:wrapTopAndBottom/>
            <wp:docPr id="11" name="图片 11" descr="cf42e71d30d150f047fc78dfb7aa0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f42e71d30d150f047fc78dfb7aa0b8"/>
                    <pic:cNvPicPr>
                      <a:picLocks noChangeAspect="1"/>
                    </pic:cNvPicPr>
                  </pic:nvPicPr>
                  <pic:blipFill>
                    <a:blip r:embed="rId7"/>
                    <a:stretch>
                      <a:fillRect/>
                    </a:stretch>
                  </pic:blipFill>
                  <pic:spPr>
                    <a:xfrm>
                      <a:off x="0" y="0"/>
                      <a:ext cx="4752975" cy="3564255"/>
                    </a:xfrm>
                    <a:prstGeom prst="rect">
                      <a:avLst/>
                    </a:prstGeom>
                  </pic:spPr>
                </pic:pic>
              </a:graphicData>
            </a:graphic>
          </wp:anchor>
        </w:drawing>
      </w:r>
      <w:r>
        <w:rPr>
          <w:rFonts w:hint="eastAsia" w:ascii="宋体" w:hAnsi="宋体" w:cs="Times New Roman"/>
          <w:sz w:val="24"/>
          <w:highlight w:val="none"/>
          <w:lang w:val="en-US" w:eastAsia="zh-CN"/>
        </w:rPr>
        <w:t>点位四：位于危废贮存间门口，覆盖区域：危废贮存区全貌；危废贮存区出入口；危废称重区域；危废标签打印、粘贴区域。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宋体" w:hAnsi="宋体" w:cs="Times New Roman"/>
          <w:sz w:val="24"/>
          <w:highlight w:val="none"/>
          <w:lang w:val="en-US"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点位五：位于危废贮存间内部，覆盖区域：危废贮存区全貌；</w:t>
      </w:r>
    </w:p>
    <w:p>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440" w:lineRule="exact"/>
        <w:ind w:left="0" w:right="0" w:firstLine="210" w:firstLineChars="100"/>
        <w:jc w:val="both"/>
        <w:textAlignment w:val="auto"/>
        <w:rPr>
          <w:rFonts w:hint="eastAsia" w:ascii="宋体" w:hAnsi="宋体" w:cs="Times New Roman"/>
          <w:sz w:val="24"/>
          <w:highlight w:val="none"/>
          <w:lang w:val="en-US" w:eastAsia="zh-CN"/>
        </w:rPr>
      </w:pPr>
      <w:r>
        <w:drawing>
          <wp:anchor distT="0" distB="0" distL="114300" distR="114300" simplePos="0" relativeHeight="251662336" behindDoc="0" locked="0" layoutInCell="1" allowOverlap="1">
            <wp:simplePos x="0" y="0"/>
            <wp:positionH relativeFrom="column">
              <wp:posOffset>163830</wp:posOffset>
            </wp:positionH>
            <wp:positionV relativeFrom="paragraph">
              <wp:posOffset>203200</wp:posOffset>
            </wp:positionV>
            <wp:extent cx="4746625" cy="3564255"/>
            <wp:effectExtent l="0" t="0" r="15875" b="17145"/>
            <wp:wrapTopAndBottom/>
            <wp:docPr id="2"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001"/>
                    <pic:cNvPicPr>
                      <a:picLocks noChangeAspect="1"/>
                    </pic:cNvPicPr>
                  </pic:nvPicPr>
                  <pic:blipFill>
                    <a:blip r:embed="rId8"/>
                    <a:stretch>
                      <a:fillRect/>
                    </a:stretch>
                  </pic:blipFill>
                  <pic:spPr>
                    <a:xfrm>
                      <a:off x="0" y="0"/>
                      <a:ext cx="4746625" cy="3564255"/>
                    </a:xfrm>
                    <a:prstGeom prst="rect">
                      <a:avLst/>
                    </a:prstGeom>
                    <a:noFill/>
                    <a:ln w="9525">
                      <a:noFill/>
                    </a:ln>
                  </pic:spPr>
                </pic:pic>
              </a:graphicData>
            </a:graphic>
          </wp:anchor>
        </w:drawing>
      </w:r>
      <w:r>
        <w:rPr>
          <w:rFonts w:hint="eastAsia" w:ascii="宋体" w:hAnsi="宋体" w:cs="Times New Roman"/>
          <w:sz w:val="24"/>
          <w:highlight w:val="none"/>
          <w:lang w:val="en-US" w:eastAsia="zh-CN"/>
        </w:rPr>
        <w:t>危废转移环节（共计一个点位）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 点位六：</w:t>
      </w:r>
      <w:r>
        <w:rPr>
          <w:rFonts w:hint="eastAsia" w:eastAsia="宋体" w:cs="Times New Roman"/>
          <w:sz w:val="24"/>
          <w:highlight w:val="none"/>
          <w:lang w:val="en-US" w:eastAsia="zh-CN"/>
        </w:rPr>
        <w:t>废覆盖物装卸区全貌、清晰记录废物装车过程记录车牌号码及车辆出入口全貌。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10" w:firstLineChars="100"/>
        <w:jc w:val="both"/>
        <w:textAlignment w:val="auto"/>
        <w:rPr>
          <w:rFonts w:hint="eastAsia" w:eastAsia="宋体" w:cs="Times New Roman"/>
          <w:sz w:val="24"/>
          <w:highlight w:val="none"/>
          <w:lang w:val="en-US" w:eastAsia="zh-CN"/>
        </w:rPr>
      </w:pPr>
      <w:r>
        <w:rPr>
          <w:sz w:val="21"/>
        </w:rPr>
        <mc:AlternateContent>
          <mc:Choice Requires="wps">
            <w:drawing>
              <wp:anchor distT="0" distB="0" distL="114300" distR="114300" simplePos="0" relativeHeight="251665408" behindDoc="0" locked="0" layoutInCell="1" allowOverlap="1">
                <wp:simplePos x="0" y="0"/>
                <wp:positionH relativeFrom="column">
                  <wp:posOffset>1713230</wp:posOffset>
                </wp:positionH>
                <wp:positionV relativeFrom="paragraph">
                  <wp:posOffset>2858770</wp:posOffset>
                </wp:positionV>
                <wp:extent cx="1509395" cy="41021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509395" cy="4102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b/>
                                <w:bCs/>
                                <w:color w:val="FF0000"/>
                                <w:sz w:val="22"/>
                                <w:szCs w:val="28"/>
                                <w:lang w:eastAsia="zh-CN"/>
                              </w:rPr>
                            </w:pPr>
                            <w:r>
                              <w:rPr>
                                <w:rFonts w:hint="eastAsia"/>
                                <w:b/>
                                <w:bCs/>
                                <w:color w:val="FF0000"/>
                                <w:sz w:val="22"/>
                                <w:szCs w:val="28"/>
                                <w:lang w:eastAsia="zh-CN"/>
                              </w:rPr>
                              <w:t>污泥车拉运区域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4.9pt;margin-top:225.1pt;height:32.3pt;width:118.85pt;z-index:251665408;mso-width-relative:page;mso-height-relative:page;" filled="f" stroked="f" coordsize="21600,21600" o:gfxdata="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FgAAAGRycy9QSwECFAAUAAAACACHTuJAwUtxy9wAAAAL&#10;AQAADwAAAAAAAAABACAAAAA4AAAAZHJzL2Rvd25yZXYueG1sUEsBAhQAFAAAAAgAh07iQBTpzOU7&#10;AgAAaAQAAA4AAAAAAAAAAQAgAAAAQQEAAGRycy9lMm9Eb2MueG1sUEsFBgAAAAAGAAYAWQEAAO4F&#10;AAAAAA==&#10;">
                <v:fill on="f" focussize="0,0"/>
                <v:stroke on="f" weight="0.5pt"/>
                <v:imagedata o:title=""/>
                <o:lock v:ext="edit" aspectratio="f"/>
                <v:textbox>
                  <w:txbxContent>
                    <w:p>
                      <w:pPr>
                        <w:rPr>
                          <w:rFonts w:hint="eastAsia" w:eastAsiaTheme="minorEastAsia"/>
                          <w:b/>
                          <w:bCs/>
                          <w:color w:val="FF0000"/>
                          <w:sz w:val="22"/>
                          <w:szCs w:val="28"/>
                          <w:lang w:eastAsia="zh-CN"/>
                        </w:rPr>
                      </w:pPr>
                      <w:r>
                        <w:rPr>
                          <w:rFonts w:hint="eastAsia"/>
                          <w:b/>
                          <w:bCs/>
                          <w:color w:val="FF0000"/>
                          <w:sz w:val="22"/>
                          <w:szCs w:val="28"/>
                          <w:lang w:eastAsia="zh-CN"/>
                        </w:rPr>
                        <w:t>污泥车拉运区域</w:t>
                      </w: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1113790</wp:posOffset>
                </wp:positionH>
                <wp:positionV relativeFrom="paragraph">
                  <wp:posOffset>1721485</wp:posOffset>
                </wp:positionV>
                <wp:extent cx="1598930" cy="854710"/>
                <wp:effectExtent l="17780" t="6350" r="21590" b="15240"/>
                <wp:wrapNone/>
                <wp:docPr id="3" name="平行四边形 3"/>
                <wp:cNvGraphicFramePr/>
                <a:graphic xmlns:a="http://schemas.openxmlformats.org/drawingml/2006/main">
                  <a:graphicData uri="http://schemas.microsoft.com/office/word/2010/wordprocessingShape">
                    <wps:wsp>
                      <wps:cNvSpPr/>
                      <wps:spPr>
                        <a:xfrm flipH="1">
                          <a:off x="0" y="0"/>
                          <a:ext cx="1598930" cy="854710"/>
                        </a:xfrm>
                        <a:prstGeom prst="parallelogram">
                          <a:avLst>
                            <a:gd name="adj" fmla="val 124442"/>
                          </a:avLst>
                        </a:prstGeom>
                        <a:noFill/>
                        <a:ln w="12700"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7" type="#_x0000_t7" style="position:absolute;left:0pt;flip:x;margin-left:87.7pt;margin-top:135.55pt;height:67.3pt;width:125.9pt;z-index:251664384;v-text-anchor:middle;mso-width-relative:page;mso-height-relative:page;" filled="f" stroked="t" coordsize="21600,21600" o:gfxdata="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BYAAABkcnMvUEsBAhQAFAAAAAgAh07iQPvpeajbAAAACwEAAA8AAAAAAAAAAQAgAAAA&#10;OAAAAGRycy9kb3ducmV2LnhtbFBLAQIUABQAAAAIAIdO4kAImxdDnQIAABQFAAAOAAAAAAAAAAEA&#10;IAAAAEABAABkcnMvZTJvRG9jLnhtbFBLBQYAAAAABgAGAFkBAABPBgAAAAA=&#10;" adj="14368">
                <v:fill on="f" focussize="0,0"/>
                <v:stroke weight="1pt" color="#FF0000 [3204]" miterlimit="8" joinstyle="miter"/>
                <v:imagedata o:title=""/>
                <o:lock v:ext="edit" aspectratio="f"/>
              </v:shape>
            </w:pict>
          </mc:Fallback>
        </mc:AlternateContent>
      </w:r>
      <w:r>
        <w:rPr>
          <w:rFonts w:hint="eastAsia" w:eastAsiaTheme="minorEastAsia"/>
          <w:lang w:eastAsia="zh-CN"/>
        </w:rPr>
        <w:drawing>
          <wp:anchor distT="0" distB="0" distL="114300" distR="114300" simplePos="0" relativeHeight="251663360" behindDoc="0" locked="0" layoutInCell="1" allowOverlap="1">
            <wp:simplePos x="0" y="0"/>
            <wp:positionH relativeFrom="column">
              <wp:posOffset>330200</wp:posOffset>
            </wp:positionH>
            <wp:positionV relativeFrom="paragraph">
              <wp:posOffset>207010</wp:posOffset>
            </wp:positionV>
            <wp:extent cx="4608195" cy="3456305"/>
            <wp:effectExtent l="0" t="0" r="1905" b="10795"/>
            <wp:wrapTopAndBottom/>
            <wp:docPr id="8" name="图片 8" descr="e94a6ff1204c6b432e3425f0d44dc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94a6ff1204c6b432e3425f0d44dc33"/>
                    <pic:cNvPicPr>
                      <a:picLocks noChangeAspect="1"/>
                    </pic:cNvPicPr>
                  </pic:nvPicPr>
                  <pic:blipFill>
                    <a:blip r:embed="rId9"/>
                    <a:stretch>
                      <a:fillRect/>
                    </a:stretch>
                  </pic:blipFill>
                  <pic:spPr>
                    <a:xfrm>
                      <a:off x="0" y="0"/>
                      <a:ext cx="4608195" cy="3456305"/>
                    </a:xfrm>
                    <a:prstGeom prst="rect">
                      <a:avLst/>
                    </a:prstGeom>
                  </pic:spPr>
                </pic:pic>
              </a:graphicData>
            </a:graphic>
          </wp:anchor>
        </w:drawing>
      </w:r>
      <w:r>
        <w:rPr>
          <w:rFonts w:hint="eastAsia" w:eastAsia="宋体" w:cs="Times New Roman"/>
          <w:sz w:val="24"/>
          <w:highlight w:val="none"/>
          <w:lang w:val="en-US" w:eastAsia="zh-CN"/>
        </w:rPr>
        <w:t>备注：危险废物由委外处理，不涉及车辆过磅区及危险废物利用处置环节。</w:t>
      </w:r>
      <w:r>
        <w:rPr>
          <w:rFonts w:hint="eastAsia" w:cs="Times New Roman"/>
          <w:sz w:val="24"/>
          <w:highlight w:val="none"/>
          <w:lang w:val="en-US" w:eastAsia="zh-CN"/>
        </w:rPr>
        <w:t>点位位置若相关部门有其他要求以相关部门为准。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240" w:firstLineChars="100"/>
        <w:jc w:val="both"/>
        <w:textAlignment w:val="auto"/>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服务供应商提供相应的维保等后续服务</w:t>
      </w:r>
      <w:r>
        <w:rPr>
          <w:rFonts w:hint="eastAsia" w:ascii="宋体" w:hAnsi="宋体" w:cs="Times New Roman"/>
          <w:sz w:val="24"/>
          <w:highlight w:val="none"/>
          <w:lang w:val="en-US" w:eastAsia="zh-CN"/>
        </w:rPr>
        <w:t>，包含一年的运行维护费用及网络宽带费用</w:t>
      </w:r>
      <w:r>
        <w:rPr>
          <w:rFonts w:hint="eastAsia" w:ascii="宋体" w:hAnsi="宋体" w:eastAsia="宋体" w:cs="Times New Roman"/>
          <w:sz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right="0" w:firstLine="240" w:firstLineChars="100"/>
        <w:jc w:val="both"/>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7、视频监控维护要求：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服务供应商指定专人定期维护视频监控设施，保持摄像头清洁、拍摄位置正确、设施完好，确保视频传输图像清晰、监控设备正常稳定运行。从发生故障至故障排除不超过 4 小时，故障超过 24 小时需向当地生态环境部门说明情况并报备。视频监控在线率保障不低于 95%（意外断电断网除外），应定期对视频监控设备进行维护保障摄像清洁、无遮挡。</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textAlignment w:val="auto"/>
        <w:rPr>
          <w:rFonts w:hint="eastAsia" w:eastAsia="宋体" w:cs="Times New Roman"/>
          <w:sz w:val="24"/>
          <w:lang w:val="en-US" w:eastAsia="zh-CN"/>
        </w:rPr>
      </w:pPr>
      <w:r>
        <w:rPr>
          <w:rFonts w:hint="eastAsia" w:ascii="宋体" w:hAnsi="宋体" w:cs="Times New Roman"/>
          <w:sz w:val="24"/>
          <w:lang w:val="en-US" w:eastAsia="zh-CN"/>
        </w:rPr>
        <w:t>8</w:t>
      </w:r>
      <w:r>
        <w:rPr>
          <w:rFonts w:hint="eastAsia" w:ascii="宋体" w:hAnsi="宋体" w:eastAsia="宋体" w:cs="Times New Roman"/>
          <w:sz w:val="24"/>
          <w:lang w:val="en-US" w:eastAsia="zh-CN"/>
        </w:rPr>
        <w:t>、服务供应商提供的服务应满</w:t>
      </w:r>
      <w:r>
        <w:rPr>
          <w:rFonts w:hint="eastAsia" w:eastAsia="宋体" w:cs="Times New Roman"/>
          <w:sz w:val="24"/>
          <w:lang w:val="en-US" w:eastAsia="zh-CN"/>
        </w:rPr>
        <w:t>足深圳市生态环境局相关文件要求，详见附件二：《广东省危险废物环境重点监管单位“五即”规范化建设和智能终端设施配套安装指引》（第二版）</w:t>
      </w:r>
      <w:r>
        <w:rPr>
          <w:rFonts w:hint="eastAsia" w:cs="Times New Roman"/>
          <w:sz w:val="24"/>
          <w:lang w:val="en-US" w:eastAsia="zh-CN"/>
        </w:rPr>
        <w:t>及附件三：《企业视频联网共享技术指引》</w:t>
      </w:r>
      <w:r>
        <w:rPr>
          <w:rFonts w:hint="eastAsia" w:eastAsia="宋体" w:cs="Times New Roman"/>
          <w:sz w:val="24"/>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240" w:firstLineChars="100"/>
        <w:jc w:val="both"/>
        <w:textAlignment w:val="auto"/>
        <w:rPr>
          <w:rFonts w:hint="eastAsia" w:eastAsia="宋体" w:cs="Times New Roman"/>
          <w:sz w:val="24"/>
          <w:lang w:val="en-US" w:eastAsia="zh-CN"/>
        </w:rPr>
      </w:pPr>
    </w:p>
    <w:p>
      <w:pPr>
        <w:numPr>
          <w:ilvl w:val="0"/>
          <w:numId w:val="4"/>
        </w:numPr>
        <w:rPr>
          <w:rFonts w:hint="eastAsia" w:ascii="宋体" w:hAnsi="宋体" w:cs="宋体"/>
          <w:b/>
          <w:sz w:val="28"/>
          <w:szCs w:val="28"/>
          <w:lang w:eastAsia="zh-CN"/>
        </w:rPr>
      </w:pPr>
      <w:r>
        <w:rPr>
          <w:rFonts w:hint="eastAsia" w:ascii="宋体" w:hAnsi="宋体" w:cs="宋体"/>
          <w:b/>
          <w:sz w:val="28"/>
          <w:szCs w:val="28"/>
          <w:lang w:eastAsia="zh-CN"/>
        </w:rPr>
        <w:t>商务要求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eastAsia="宋体" w:cs="Times New Roman"/>
          <w:sz w:val="24"/>
          <w:lang w:val="en-US" w:eastAsia="zh-CN"/>
        </w:rPr>
        <w:sectPr>
          <w:pgSz w:w="11906" w:h="16838"/>
          <w:pgMar w:top="1440" w:right="1800" w:bottom="1440" w:left="1800" w:header="851" w:footer="992" w:gutter="0"/>
          <w:cols w:space="425" w:num="1"/>
          <w:docGrid w:type="lines" w:linePitch="312" w:charSpace="0"/>
        </w:sectPr>
      </w:pPr>
      <w:r>
        <w:rPr>
          <w:rFonts w:hint="eastAsia" w:asciiTheme="minorEastAsia" w:hAnsiTheme="minorEastAsia" w:eastAsiaTheme="minorEastAsia" w:cstheme="minorEastAsia"/>
          <w:color w:val="000000"/>
          <w:sz w:val="24"/>
          <w:szCs w:val="24"/>
          <w:lang w:val="en-US" w:eastAsia="zh-CN"/>
        </w:rPr>
        <w:t>1、项目服务费用分两次支付，合同签订后支付费用的50%，在项目完成后与广东省固体废物环保局监管信息平台技术人员确认画面联网并通过询价单位验收后支付剩余50%费用。</w:t>
      </w:r>
    </w:p>
    <w:p>
      <w:pPr>
        <w:keepNext w:val="0"/>
        <w:keepLines w:val="0"/>
        <w:widowControl w:val="0"/>
        <w:suppressLineNumbers w:val="0"/>
        <w:spacing w:before="0" w:beforeAutospacing="0" w:after="0" w:afterAutospacing="0"/>
        <w:ind w:right="0"/>
        <w:jc w:val="both"/>
        <w:rPr>
          <w:rFonts w:hint="eastAsia" w:eastAsia="宋体" w:cs="Times New Roman"/>
          <w:sz w:val="24"/>
          <w:lang w:val="en-US" w:eastAsia="zh-CN"/>
        </w:rPr>
      </w:pPr>
      <w:r>
        <w:rPr>
          <w:rFonts w:hint="eastAsia" w:eastAsia="宋体" w:cs="Times New Roman"/>
          <w:sz w:val="24"/>
          <w:lang w:val="en-US" w:eastAsia="zh-CN"/>
        </w:rPr>
        <w:t>附件一 中心报价单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3338"/>
        <w:gridCol w:w="925"/>
        <w:gridCol w:w="3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3" w:type="dxa"/>
            <w:gridSpan w:val="2"/>
          </w:tcPr>
          <w:p>
            <w:pPr>
              <w:keepNext w:val="0"/>
              <w:keepLines w:val="0"/>
              <w:widowControl w:val="0"/>
              <w:suppressLineNumbers w:val="0"/>
              <w:spacing w:before="0" w:beforeAutospacing="0" w:after="0" w:afterAutospacing="0"/>
              <w:ind w:left="0" w:right="0"/>
              <w:jc w:val="center"/>
              <w:rPr>
                <w:rFonts w:hint="default" w:eastAsia="宋体" w:cs="Times New Roman"/>
                <w:sz w:val="24"/>
                <w:vertAlign w:val="baseline"/>
                <w:lang w:val="en-US" w:eastAsia="zh-CN"/>
              </w:rPr>
            </w:pPr>
            <w:r>
              <w:rPr>
                <w:rFonts w:hint="eastAsia" w:eastAsia="宋体" w:cs="Times New Roman"/>
                <w:sz w:val="24"/>
                <w:vertAlign w:val="baseline"/>
                <w:lang w:val="en-US" w:eastAsia="zh-CN"/>
              </w:rPr>
              <w:t>报价单位</w:t>
            </w:r>
          </w:p>
        </w:tc>
        <w:tc>
          <w:tcPr>
            <w:tcW w:w="4229" w:type="dxa"/>
            <w:gridSpan w:val="2"/>
          </w:tcPr>
          <w:p>
            <w:pPr>
              <w:keepNext w:val="0"/>
              <w:keepLines w:val="0"/>
              <w:widowControl w:val="0"/>
              <w:suppressLineNumbers w:val="0"/>
              <w:spacing w:before="0" w:beforeAutospacing="0" w:after="0" w:afterAutospacing="0"/>
              <w:ind w:left="0" w:right="0"/>
              <w:jc w:val="center"/>
              <w:rPr>
                <w:rFonts w:hint="default" w:eastAsia="宋体" w:cs="Times New Roman"/>
                <w:sz w:val="24"/>
                <w:vertAlign w:val="baseline"/>
                <w:lang w:val="en-US" w:eastAsia="zh-CN"/>
              </w:rPr>
            </w:pPr>
            <w:r>
              <w:rPr>
                <w:rFonts w:hint="eastAsia" w:eastAsia="宋体" w:cs="Times New Roman"/>
                <w:sz w:val="24"/>
                <w:vertAlign w:val="baseline"/>
                <w:lang w:val="en-US" w:eastAsia="zh-CN"/>
              </w:rPr>
              <w:t>询价单位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tcPr>
          <w:p>
            <w:pPr>
              <w:keepNext w:val="0"/>
              <w:keepLines w:val="0"/>
              <w:widowControl w:val="0"/>
              <w:suppressLineNumbers w:val="0"/>
              <w:spacing w:before="0" w:beforeAutospacing="0" w:after="0" w:afterAutospacing="0"/>
              <w:ind w:left="0" w:right="0"/>
              <w:jc w:val="center"/>
              <w:rPr>
                <w:rFonts w:hint="eastAsia" w:eastAsia="宋体" w:cs="Times New Roman"/>
                <w:sz w:val="24"/>
                <w:vertAlign w:val="baseline"/>
                <w:lang w:val="en-US" w:eastAsia="zh-CN"/>
              </w:rPr>
            </w:pPr>
            <w:r>
              <w:rPr>
                <w:rFonts w:hint="eastAsia" w:eastAsia="宋体" w:cs="Times New Roman"/>
                <w:sz w:val="24"/>
                <w:vertAlign w:val="baseline"/>
                <w:lang w:val="en-US" w:eastAsia="zh-CN"/>
              </w:rPr>
              <w:t>公司</w:t>
            </w:r>
          </w:p>
          <w:p>
            <w:pPr>
              <w:keepNext w:val="0"/>
              <w:keepLines w:val="0"/>
              <w:widowControl w:val="0"/>
              <w:suppressLineNumbers w:val="0"/>
              <w:spacing w:before="0" w:beforeAutospacing="0" w:after="0" w:afterAutospacing="0"/>
              <w:ind w:left="0" w:right="0"/>
              <w:jc w:val="center"/>
              <w:rPr>
                <w:rFonts w:hint="default" w:eastAsia="宋体" w:cs="Times New Roman"/>
                <w:sz w:val="24"/>
                <w:vertAlign w:val="baseline"/>
                <w:lang w:val="en-US" w:eastAsia="zh-CN"/>
              </w:rPr>
            </w:pPr>
            <w:r>
              <w:rPr>
                <w:rFonts w:hint="eastAsia" w:cs="Times New Roman"/>
                <w:sz w:val="24"/>
                <w:vertAlign w:val="baseline"/>
                <w:lang w:val="en-US" w:eastAsia="zh-CN"/>
              </w:rPr>
              <w:t>名称</w:t>
            </w:r>
          </w:p>
        </w:tc>
        <w:tc>
          <w:tcPr>
            <w:tcW w:w="3338"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p>
        </w:tc>
        <w:tc>
          <w:tcPr>
            <w:tcW w:w="925"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单位</w:t>
            </w:r>
          </w:p>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名称</w:t>
            </w:r>
          </w:p>
        </w:tc>
        <w:tc>
          <w:tcPr>
            <w:tcW w:w="3304" w:type="dxa"/>
            <w:vAlign w:val="center"/>
          </w:tcPr>
          <w:p>
            <w:pPr>
              <w:keepNext w:val="0"/>
              <w:keepLines w:val="0"/>
              <w:widowControl w:val="0"/>
              <w:suppressLineNumbers w:val="0"/>
              <w:autoSpaceDE w:val="0"/>
              <w:autoSpaceDN w:val="0"/>
              <w:spacing w:before="0" w:beforeAutospacing="0" w:after="0" w:afterAutospacing="0" w:line="264" w:lineRule="exact"/>
              <w:ind w:left="0" w:right="0" w:firstLine="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color w:val="000000"/>
                <w:spacing w:val="0"/>
                <w:sz w:val="24"/>
              </w:rPr>
              <w:t>深圳市医疗卫生专业服务中心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vAlign w:val="center"/>
          </w:tcPr>
          <w:p>
            <w:pPr>
              <w:keepNext w:val="0"/>
              <w:keepLines w:val="0"/>
              <w:widowControl w:val="0"/>
              <w:suppressLineNumbers w:val="0"/>
              <w:spacing w:before="0" w:beforeAutospacing="0" w:after="0" w:afterAutospacing="0"/>
              <w:ind w:left="0" w:right="0"/>
              <w:jc w:val="center"/>
              <w:rPr>
                <w:rFonts w:hint="default" w:eastAsia="宋体" w:cs="Times New Roman"/>
                <w:sz w:val="24"/>
                <w:vertAlign w:val="baseline"/>
                <w:lang w:val="en-US" w:eastAsia="zh-CN"/>
              </w:rPr>
            </w:pPr>
            <w:r>
              <w:rPr>
                <w:rFonts w:hint="eastAsia" w:eastAsia="宋体" w:cs="Times New Roman"/>
                <w:sz w:val="22"/>
                <w:szCs w:val="22"/>
                <w:vertAlign w:val="baseline"/>
                <w:lang w:val="en-US" w:eastAsia="zh-CN"/>
              </w:rPr>
              <w:t>收件人</w:t>
            </w:r>
          </w:p>
        </w:tc>
        <w:tc>
          <w:tcPr>
            <w:tcW w:w="3338"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p>
        </w:tc>
        <w:tc>
          <w:tcPr>
            <w:tcW w:w="925"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2"/>
                <w:szCs w:val="22"/>
                <w:vertAlign w:val="baseline"/>
                <w:lang w:val="en-US" w:eastAsia="zh-CN"/>
              </w:rPr>
              <w:t>发件人</w:t>
            </w:r>
          </w:p>
        </w:tc>
        <w:tc>
          <w:tcPr>
            <w:tcW w:w="3304"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陈嘉熙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5" w:type="dxa"/>
          </w:tcPr>
          <w:p>
            <w:pPr>
              <w:keepNext w:val="0"/>
              <w:keepLines w:val="0"/>
              <w:widowControl w:val="0"/>
              <w:suppressLineNumbers w:val="0"/>
              <w:spacing w:before="0" w:beforeAutospacing="0" w:after="0" w:afterAutospacing="0"/>
              <w:ind w:left="0" w:right="0"/>
              <w:jc w:val="center"/>
              <w:rPr>
                <w:rFonts w:hint="default" w:eastAsia="宋体" w:cs="Times New Roman"/>
                <w:sz w:val="24"/>
                <w:vertAlign w:val="baseline"/>
                <w:lang w:val="en-US" w:eastAsia="zh-CN"/>
              </w:rPr>
            </w:pPr>
            <w:r>
              <w:rPr>
                <w:rFonts w:hint="eastAsia" w:eastAsia="宋体" w:cs="Times New Roman"/>
                <w:sz w:val="24"/>
                <w:vertAlign w:val="baseline"/>
                <w:lang w:val="en-US" w:eastAsia="zh-CN"/>
              </w:rPr>
              <w:t>电话</w:t>
            </w:r>
          </w:p>
        </w:tc>
        <w:tc>
          <w:tcPr>
            <w:tcW w:w="3338"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p>
        </w:tc>
        <w:tc>
          <w:tcPr>
            <w:tcW w:w="925"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电话</w:t>
            </w:r>
          </w:p>
        </w:tc>
        <w:tc>
          <w:tcPr>
            <w:tcW w:w="3304"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13760266578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6" w:hRule="atLeast"/>
        </w:trPr>
        <w:tc>
          <w:tcPr>
            <w:tcW w:w="95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240" w:firstLineChars="100"/>
              <w:jc w:val="both"/>
              <w:textAlignment w:val="auto"/>
              <w:rPr>
                <w:rFonts w:hint="eastAsia" w:eastAsia="宋体" w:cs="Times New Roman"/>
                <w:sz w:val="24"/>
                <w:vertAlign w:val="baseline"/>
                <w:lang w:val="en-US" w:eastAsia="zh-CN"/>
              </w:rPr>
            </w:pPr>
            <w:r>
              <w:rPr>
                <w:rFonts w:hint="eastAsia" w:eastAsia="宋体" w:cs="Times New Roman"/>
                <w:sz w:val="24"/>
                <w:vertAlign w:val="baseline"/>
                <w:lang w:val="en-US" w:eastAsia="zh-CN"/>
              </w:rPr>
              <w:t>服务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eastAsia="宋体" w:cs="Times New Roman"/>
                <w:sz w:val="24"/>
                <w:vertAlign w:val="baseline"/>
                <w:lang w:val="en-US" w:eastAsia="zh-CN"/>
              </w:rPr>
            </w:pPr>
            <w:r>
              <w:rPr>
                <w:rFonts w:hint="eastAsia" w:eastAsia="宋体" w:cs="Times New Roman"/>
                <w:sz w:val="24"/>
                <w:vertAlign w:val="baseline"/>
                <w:lang w:val="en-US" w:eastAsia="zh-CN"/>
              </w:rPr>
              <w:t>名称</w:t>
            </w:r>
          </w:p>
        </w:tc>
        <w:tc>
          <w:tcPr>
            <w:tcW w:w="3338" w:type="dxa"/>
          </w:tcPr>
          <w:p>
            <w:pPr>
              <w:keepNext w:val="0"/>
              <w:keepLines w:val="0"/>
              <w:widowControl w:val="0"/>
              <w:suppressLineNumbers w:val="0"/>
              <w:spacing w:before="0" w:beforeAutospacing="0" w:after="0" w:afterAutospacing="0"/>
              <w:ind w:left="0" w:right="0"/>
              <w:jc w:val="both"/>
              <w:rPr>
                <w:rFonts w:hint="eastAsia" w:asciiTheme="minorEastAsia" w:hAnsiTheme="minorEastAsia" w:eastAsiaTheme="minorEastAsia" w:cstheme="minorEastAsia"/>
                <w:sz w:val="24"/>
                <w:vertAlign w:val="baseline"/>
                <w:lang w:val="en-US" w:eastAsia="zh-CN"/>
              </w:rPr>
            </w:pPr>
          </w:p>
        </w:tc>
        <w:tc>
          <w:tcPr>
            <w:tcW w:w="925"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日期</w:t>
            </w:r>
          </w:p>
        </w:tc>
        <w:tc>
          <w:tcPr>
            <w:tcW w:w="3304" w:type="dxa"/>
            <w:vAlign w:val="center"/>
          </w:tcPr>
          <w:p>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sz w:val="24"/>
                <w:vertAlign w:val="baseline"/>
                <w:lang w:val="en-US" w:eastAsia="zh-CN"/>
              </w:rPr>
            </w:pPr>
            <w:r>
              <w:rPr>
                <w:rFonts w:hint="eastAsia" w:asciiTheme="minorEastAsia" w:hAnsiTheme="minorEastAsia" w:eastAsiaTheme="minorEastAsia" w:cstheme="minorEastAsia"/>
                <w:sz w:val="24"/>
                <w:vertAlign w:val="baseline"/>
                <w:lang w:val="en-US" w:eastAsia="zh-CN"/>
              </w:rPr>
              <w:t>2026.1</w:t>
            </w:r>
          </w:p>
        </w:tc>
      </w:tr>
    </w:tbl>
    <w:p/>
    <w:tbl>
      <w:tblPr>
        <w:tblStyle w:val="6"/>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043"/>
        <w:gridCol w:w="743"/>
        <w:gridCol w:w="1283"/>
        <w:gridCol w:w="1024"/>
        <w:gridCol w:w="9"/>
        <w:gridCol w:w="606"/>
        <w:gridCol w:w="9"/>
        <w:gridCol w:w="624"/>
        <w:gridCol w:w="9"/>
        <w:gridCol w:w="771"/>
        <w:gridCol w:w="9"/>
        <w:gridCol w:w="884"/>
        <w:gridCol w:w="1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3" w:type="dxa"/>
            <w:gridSpan w:val="14"/>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r>
              <w:rPr>
                <w:rFonts w:hint="eastAsia"/>
                <w:sz w:val="22"/>
                <w:szCs w:val="28"/>
                <w:vertAlign w:val="baseline"/>
                <w:lang w:eastAsia="zh-CN"/>
              </w:rPr>
              <w:t>相关设备报价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序号</w:t>
            </w:r>
          </w:p>
        </w:tc>
        <w:tc>
          <w:tcPr>
            <w:tcW w:w="1043" w:type="dxa"/>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名称</w:t>
            </w:r>
          </w:p>
        </w:tc>
        <w:tc>
          <w:tcPr>
            <w:tcW w:w="743" w:type="dxa"/>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品牌</w:t>
            </w:r>
          </w:p>
        </w:tc>
        <w:tc>
          <w:tcPr>
            <w:tcW w:w="1283" w:type="dxa"/>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型号</w:t>
            </w:r>
          </w:p>
        </w:tc>
        <w:tc>
          <w:tcPr>
            <w:tcW w:w="1033" w:type="dxa"/>
            <w:gridSpan w:val="2"/>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技术规格</w:t>
            </w: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单位</w:t>
            </w: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数量</w:t>
            </w: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单价</w:t>
            </w:r>
          </w:p>
        </w:tc>
        <w:tc>
          <w:tcPr>
            <w:tcW w:w="884" w:type="dxa"/>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总价</w:t>
            </w:r>
          </w:p>
        </w:tc>
        <w:tc>
          <w:tcPr>
            <w:tcW w:w="1303" w:type="dxa"/>
            <w:noWrap w:val="0"/>
            <w:vAlign w:val="center"/>
          </w:tcPr>
          <w:p>
            <w:pPr>
              <w:keepNext w:val="0"/>
              <w:keepLines w:val="0"/>
              <w:suppressLineNumbers w:val="0"/>
              <w:spacing w:before="0" w:beforeAutospacing="0" w:after="0" w:afterAutospacing="0"/>
              <w:ind w:left="0" w:right="0"/>
              <w:jc w:val="center"/>
              <w:rPr>
                <w:rFonts w:hint="eastAsia" w:eastAsia="宋体"/>
                <w:vertAlign w:val="baseline"/>
                <w:lang w:eastAsia="zh-CN"/>
              </w:rPr>
            </w:pPr>
            <w:r>
              <w:rPr>
                <w:rFonts w:hint="eastAsia"/>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1</w:t>
            </w:r>
          </w:p>
        </w:tc>
        <w:tc>
          <w:tcPr>
            <w:tcW w:w="10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摄像机</w:t>
            </w:r>
          </w:p>
        </w:tc>
        <w:tc>
          <w:tcPr>
            <w:tcW w:w="74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Theme="minorEastAsia" w:hAnsiTheme="minorEastAsia" w:eastAsiaTheme="minorEastAsia" w:cstheme="minorEastAsia"/>
                <w:kern w:val="2"/>
                <w:sz w:val="21"/>
                <w:szCs w:val="24"/>
                <w:vertAlign w:val="baseline"/>
                <w:lang w:val="en-US" w:eastAsia="zh-CN" w:bidi="ar-SA"/>
              </w:rPr>
            </w:pPr>
            <w:r>
              <w:rPr>
                <w:rFonts w:hint="eastAsia" w:asciiTheme="minorEastAsia" w:hAnsiTheme="minorEastAsia" w:eastAsiaTheme="minorEastAsia" w:cstheme="minorEastAsia"/>
                <w:vertAlign w:val="baseline"/>
              </w:rPr>
              <w:t>海康威视</w:t>
            </w:r>
          </w:p>
        </w:tc>
        <w:tc>
          <w:tcPr>
            <w:tcW w:w="128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DS-IPC-T12HV3-LA</w:t>
            </w:r>
          </w:p>
        </w:tc>
        <w:tc>
          <w:tcPr>
            <w:tcW w:w="10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lang w:val="en-US" w:eastAsia="zh-CN"/>
              </w:rPr>
              <w:t>台</w:t>
            </w: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val="en-US" w:eastAsia="zh-CN"/>
              </w:rPr>
            </w:pPr>
          </w:p>
        </w:tc>
        <w:tc>
          <w:tcPr>
            <w:tcW w:w="884"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303" w:type="dxa"/>
            <w:noWrap w:val="0"/>
            <w:vAlign w:val="center"/>
          </w:tcPr>
          <w:p>
            <w:pPr>
              <w:keepNext w:val="0"/>
              <w:keepLines w:val="0"/>
              <w:suppressLineNumbers w:val="0"/>
              <w:spacing w:before="0" w:beforeAutospacing="0" w:after="0" w:afterAutospacing="0"/>
              <w:ind w:left="0" w:right="0"/>
              <w:jc w:val="both"/>
              <w:rPr>
                <w:rFonts w:hint="eastAsia" w:asciiTheme="minorEastAsia" w:hAnsiTheme="minorEastAsia" w:eastAsiaTheme="minorEastAsia" w:cstheme="minorEastAsia"/>
                <w:sz w:val="13"/>
                <w:szCs w:val="16"/>
                <w:vertAlign w:val="baseline"/>
              </w:rPr>
            </w:pPr>
            <w:r>
              <w:rPr>
                <w:rFonts w:hint="eastAsia" w:ascii="宋体" w:hAnsi="宋体" w:cs="Times New Roman"/>
                <w:sz w:val="16"/>
                <w:szCs w:val="16"/>
                <w:lang w:val="en-US" w:eastAsia="zh-CN"/>
              </w:rPr>
              <w:t>支</w:t>
            </w:r>
            <w:r>
              <w:rPr>
                <w:rFonts w:hint="eastAsia" w:ascii="宋体" w:hAnsi="宋体" w:eastAsia="宋体" w:cs="Times New Roman"/>
                <w:sz w:val="16"/>
                <w:szCs w:val="16"/>
              </w:rPr>
              <w:t>持</w:t>
            </w:r>
            <w:r>
              <w:rPr>
                <w:rFonts w:hint="eastAsia" w:ascii="宋体" w:hAnsi="宋体" w:eastAsia="宋体" w:cs="Times New Roman"/>
                <w:sz w:val="16"/>
                <w:szCs w:val="16"/>
                <w:lang w:eastAsia="zh-CN"/>
              </w:rPr>
              <w:t>国标</w:t>
            </w:r>
            <w:r>
              <w:rPr>
                <w:rFonts w:hint="eastAsia" w:ascii="宋体" w:hAnsi="宋体" w:eastAsia="宋体" w:cs="Times New Roman"/>
                <w:sz w:val="16"/>
                <w:szCs w:val="16"/>
              </w:rPr>
              <w:t>GB/T28181-20</w:t>
            </w:r>
            <w:r>
              <w:rPr>
                <w:rFonts w:hint="eastAsia" w:ascii="宋体" w:hAnsi="宋体" w:cs="Times New Roman"/>
                <w:sz w:val="16"/>
                <w:szCs w:val="16"/>
                <w:lang w:val="en-US" w:eastAsia="zh-CN"/>
              </w:rPr>
              <w:t>16</w:t>
            </w:r>
            <w:r>
              <w:rPr>
                <w:rFonts w:hint="eastAsia" w:ascii="宋体" w:hAnsi="宋体" w:eastAsia="宋体" w:cs="Times New Roman"/>
                <w:sz w:val="16"/>
                <w:szCs w:val="16"/>
              </w:rPr>
              <w:t>或国标GB/T 28181-2022协议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2</w:t>
            </w:r>
          </w:p>
        </w:tc>
        <w:tc>
          <w:tcPr>
            <w:tcW w:w="10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硬盘录像机</w:t>
            </w:r>
          </w:p>
        </w:tc>
        <w:tc>
          <w:tcPr>
            <w:tcW w:w="7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海康威视</w:t>
            </w:r>
          </w:p>
        </w:tc>
        <w:tc>
          <w:tcPr>
            <w:tcW w:w="128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7808N-Q2</w:t>
            </w:r>
          </w:p>
        </w:tc>
        <w:tc>
          <w:tcPr>
            <w:tcW w:w="10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台</w:t>
            </w: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val="en-US" w:eastAsia="zh-CN"/>
              </w:rPr>
            </w:pPr>
          </w:p>
        </w:tc>
        <w:tc>
          <w:tcPr>
            <w:tcW w:w="884"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3</w:t>
            </w:r>
          </w:p>
        </w:tc>
        <w:tc>
          <w:tcPr>
            <w:tcW w:w="10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r>
              <w:rPr>
                <w:rFonts w:hint="eastAsia" w:asciiTheme="minorEastAsia" w:hAnsiTheme="minorEastAsia" w:eastAsiaTheme="minorEastAsia" w:cstheme="minorEastAsia"/>
                <w:vertAlign w:val="baseline"/>
                <w:lang w:eastAsia="zh-CN"/>
              </w:rPr>
              <w:t>企业监控硬盘</w:t>
            </w:r>
          </w:p>
        </w:tc>
        <w:tc>
          <w:tcPr>
            <w:tcW w:w="743" w:type="dxa"/>
            <w:noWrap w:val="0"/>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eastAsia="zh-CN"/>
              </w:rPr>
              <w:t>西数</w:t>
            </w:r>
            <w:r>
              <w:rPr>
                <w:rFonts w:hint="eastAsia" w:asciiTheme="minorEastAsia" w:hAnsiTheme="minorEastAsia" w:eastAsiaTheme="minorEastAsia" w:cstheme="minorEastAsia"/>
                <w:vertAlign w:val="baseline"/>
                <w:lang w:val="en-US" w:eastAsia="zh-CN"/>
              </w:rPr>
              <w:t>/希捷</w:t>
            </w:r>
          </w:p>
        </w:tc>
        <w:tc>
          <w:tcPr>
            <w:tcW w:w="128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0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r>
              <w:rPr>
                <w:rFonts w:hint="eastAsia" w:asciiTheme="minorEastAsia" w:hAnsiTheme="minorEastAsia" w:eastAsiaTheme="minorEastAsia" w:cstheme="minorEastAsia"/>
                <w:vertAlign w:val="baseline"/>
                <w:lang w:eastAsia="zh-CN"/>
              </w:rPr>
              <w:t>台</w:t>
            </w: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884"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0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7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28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0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884"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0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74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28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0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884"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3" w:type="dxa"/>
            <w:gridSpan w:val="14"/>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r>
              <w:rPr>
                <w:rFonts w:hint="eastAsia" w:asciiTheme="minorEastAsia" w:hAnsiTheme="minorEastAsia" w:eastAsiaTheme="minorEastAsia" w:cstheme="minorEastAsia"/>
                <w:sz w:val="22"/>
                <w:szCs w:val="28"/>
                <w:vertAlign w:val="baseline"/>
                <w:lang w:eastAsia="zh-CN"/>
              </w:rPr>
              <w:t>辅材及安装报价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kern w:val="2"/>
                <w:sz w:val="21"/>
                <w:szCs w:val="24"/>
                <w:vertAlign w:val="baseline"/>
                <w:lang w:val="en-US" w:eastAsia="zh-CN" w:bidi="ar-SA"/>
              </w:rPr>
            </w:pPr>
            <w:r>
              <w:rPr>
                <w:rFonts w:hint="eastAsia" w:asciiTheme="minorEastAsia" w:hAnsiTheme="minorEastAsia" w:eastAsiaTheme="minorEastAsia" w:cstheme="minorEastAsia"/>
                <w:vertAlign w:val="baseline"/>
                <w:lang w:eastAsia="zh-CN"/>
              </w:rPr>
              <w:t>序号</w:t>
            </w:r>
          </w:p>
        </w:tc>
        <w:tc>
          <w:tcPr>
            <w:tcW w:w="1043"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名称</w:t>
            </w:r>
          </w:p>
        </w:tc>
        <w:tc>
          <w:tcPr>
            <w:tcW w:w="743"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品牌</w:t>
            </w:r>
          </w:p>
        </w:tc>
        <w:tc>
          <w:tcPr>
            <w:tcW w:w="1283"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型号</w:t>
            </w:r>
          </w:p>
        </w:tc>
        <w:tc>
          <w:tcPr>
            <w:tcW w:w="1024"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技术规格</w:t>
            </w: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单位</w:t>
            </w: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数量</w:t>
            </w: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单价</w:t>
            </w: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总价</w:t>
            </w:r>
          </w:p>
        </w:tc>
        <w:tc>
          <w:tcPr>
            <w:tcW w:w="1303"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p>
        </w:tc>
        <w:tc>
          <w:tcPr>
            <w:tcW w:w="104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4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28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024"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p>
        </w:tc>
        <w:tc>
          <w:tcPr>
            <w:tcW w:w="104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4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28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024"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p>
        </w:tc>
        <w:tc>
          <w:tcPr>
            <w:tcW w:w="104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4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28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024"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p>
        </w:tc>
        <w:tc>
          <w:tcPr>
            <w:tcW w:w="1043" w:type="dxa"/>
            <w:noWrap w:val="0"/>
            <w:vAlign w:val="center"/>
          </w:tcPr>
          <w:p>
            <w:pPr>
              <w:keepNext w:val="0"/>
              <w:keepLines w:val="0"/>
              <w:suppressLineNumbers w:val="0"/>
              <w:spacing w:before="0" w:beforeAutospacing="0" w:after="0" w:afterAutospacing="0"/>
              <w:ind w:left="0" w:right="0"/>
              <w:jc w:val="center"/>
              <w:rPr>
                <w:rFonts w:hint="default"/>
                <w:vertAlign w:val="baseline"/>
                <w:lang w:val="en-US" w:eastAsia="zh-CN"/>
              </w:rPr>
            </w:pPr>
            <w:r>
              <w:rPr>
                <w:rFonts w:hint="eastAsia"/>
                <w:vertAlign w:val="baseline"/>
                <w:lang w:val="en-US" w:eastAsia="zh-CN"/>
              </w:rPr>
              <w:t xml:space="preserve">                                                                                                                                                                                                                                                                                                                                                                                                                                                                                                                                                                                                                                                                                                                                                                                                                                                                                                                                                                                                                  </w:t>
            </w:r>
          </w:p>
        </w:tc>
        <w:tc>
          <w:tcPr>
            <w:tcW w:w="74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28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024"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3" w:type="dxa"/>
            <w:gridSpan w:val="14"/>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r>
              <w:rPr>
                <w:rFonts w:hint="eastAsia"/>
                <w:sz w:val="22"/>
                <w:szCs w:val="28"/>
                <w:vertAlign w:val="baseline"/>
                <w:lang w:eastAsia="zh-CN"/>
              </w:rPr>
              <w:t>相关服务报价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序号</w:t>
            </w:r>
          </w:p>
        </w:tc>
        <w:tc>
          <w:tcPr>
            <w:tcW w:w="1786"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服务名称</w:t>
            </w:r>
          </w:p>
        </w:tc>
        <w:tc>
          <w:tcPr>
            <w:tcW w:w="2307"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技术规格</w:t>
            </w: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单位</w:t>
            </w: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数量</w:t>
            </w: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单价</w:t>
            </w: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总价</w:t>
            </w:r>
          </w:p>
        </w:tc>
        <w:tc>
          <w:tcPr>
            <w:tcW w:w="1303" w:type="dxa"/>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kern w:val="2"/>
                <w:sz w:val="21"/>
                <w:szCs w:val="24"/>
                <w:vertAlign w:val="baseline"/>
                <w:lang w:val="en-US" w:eastAsia="zh-CN" w:bidi="ar-SA"/>
              </w:rPr>
            </w:pPr>
            <w:r>
              <w:rPr>
                <w:rFonts w:hint="eastAsia"/>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p>
        </w:tc>
        <w:tc>
          <w:tcPr>
            <w:tcW w:w="1786"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r>
              <w:rPr>
                <w:rFonts w:hint="eastAsia"/>
                <w:vertAlign w:val="baseline"/>
                <w:lang w:eastAsia="zh-CN"/>
              </w:rPr>
              <w:t>网络宽带</w:t>
            </w:r>
          </w:p>
        </w:tc>
        <w:tc>
          <w:tcPr>
            <w:tcW w:w="2307"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p>
        </w:tc>
        <w:tc>
          <w:tcPr>
            <w:tcW w:w="1786"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r>
              <w:rPr>
                <w:rFonts w:hint="eastAsia"/>
                <w:vertAlign w:val="baseline"/>
                <w:lang w:eastAsia="zh-CN"/>
              </w:rPr>
              <w:t>运营维护</w:t>
            </w:r>
          </w:p>
        </w:tc>
        <w:tc>
          <w:tcPr>
            <w:tcW w:w="2307"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vertAlign w:val="baseline"/>
                <w:lang w:eastAsia="zh-CN"/>
              </w:rPr>
            </w:pPr>
          </w:p>
        </w:tc>
        <w:tc>
          <w:tcPr>
            <w:tcW w:w="1786"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2307"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15"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63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780"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893" w:type="dxa"/>
            <w:gridSpan w:val="2"/>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c>
          <w:tcPr>
            <w:tcW w:w="1303" w:type="dxa"/>
            <w:noWrap w:val="0"/>
            <w:vAlign w:val="center"/>
          </w:tcPr>
          <w:p>
            <w:pPr>
              <w:keepNext w:val="0"/>
              <w:keepLines w:val="0"/>
              <w:suppressLineNumbers w:val="0"/>
              <w:spacing w:before="0" w:beforeAutospacing="0" w:after="0" w:afterAutospacing="0"/>
              <w:ind w:left="0" w:right="0"/>
              <w:jc w:val="center"/>
              <w:rPr>
                <w:rFonts w:hint="eastAsia"/>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3" w:type="dxa"/>
            <w:gridSpan w:val="14"/>
            <w:noWrap w:val="0"/>
            <w:vAlign w:val="center"/>
          </w:tcPr>
          <w:p>
            <w:pPr>
              <w:keepNext w:val="0"/>
              <w:keepLines w:val="0"/>
              <w:suppressLineNumbers w:val="0"/>
              <w:spacing w:before="0" w:beforeAutospacing="0" w:after="0" w:afterAutospacing="0"/>
              <w:ind w:left="0" w:right="0"/>
              <w:jc w:val="both"/>
              <w:rPr>
                <w:rFonts w:hint="eastAsia"/>
                <w:vertAlign w:val="baseline"/>
                <w:lang w:eastAsia="zh-CN"/>
              </w:rPr>
            </w:pPr>
            <w:r>
              <w:rPr>
                <w:rFonts w:hint="eastAsia"/>
                <w:vertAlign w:val="baseline"/>
                <w:lang w:eastAsia="zh-CN"/>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9013" w:type="dxa"/>
            <w:gridSpan w:val="14"/>
            <w:noWrap w:val="0"/>
            <w:vAlign w:val="top"/>
          </w:tcPr>
          <w:p>
            <w:pPr>
              <w:keepNext w:val="0"/>
              <w:keepLines w:val="0"/>
              <w:widowControl w:val="0"/>
              <w:suppressLineNumbers w:val="0"/>
              <w:spacing w:before="0" w:beforeAutospacing="0" w:after="0" w:afterAutospacing="0"/>
              <w:ind w:left="0" w:right="0"/>
              <w:jc w:val="both"/>
              <w:rPr>
                <w:rFonts w:hint="eastAsia" w:eastAsia="宋体" w:cs="Times New Roman"/>
                <w:sz w:val="24"/>
                <w:vertAlign w:val="baseline"/>
                <w:lang w:val="en-US" w:eastAsia="zh-CN"/>
              </w:rPr>
            </w:pPr>
            <w:r>
              <w:rPr>
                <w:rFonts w:hint="eastAsia" w:eastAsia="宋体" w:cs="Times New Roman"/>
                <w:sz w:val="24"/>
                <w:vertAlign w:val="baseline"/>
                <w:lang w:val="en-US" w:eastAsia="zh-CN"/>
              </w:rPr>
              <w:t>备注：</w:t>
            </w:r>
          </w:p>
          <w:p>
            <w:pPr>
              <w:keepNext w:val="0"/>
              <w:keepLines w:val="0"/>
              <w:widowControl w:val="0"/>
              <w:numPr>
                <w:ilvl w:val="0"/>
                <w:numId w:val="5"/>
              </w:numPr>
              <w:suppressLineNumbers w:val="0"/>
              <w:spacing w:before="0" w:beforeAutospacing="0" w:after="0" w:afterAutospacing="0"/>
              <w:ind w:left="0" w:right="0"/>
              <w:jc w:val="both"/>
              <w:rPr>
                <w:rFonts w:hint="default" w:ascii="RASTTH+FZFSK--GBK1-0" w:hAnsi="RASTTH+FZFSK--GBK1-0" w:cs="RASTTH+FZFSK--GBK1-0"/>
                <w:color w:val="000000"/>
                <w:spacing w:val="0"/>
                <w:sz w:val="24"/>
              </w:rPr>
            </w:pPr>
            <w:r>
              <w:rPr>
                <w:rFonts w:hint="default" w:ascii="RASTTH+FZFSK--GBK1-0" w:hAnsi="RASTTH+FZFSK--GBK1-0" w:cs="RASTTH+FZFSK--GBK1-0"/>
                <w:color w:val="000000"/>
                <w:spacing w:val="0"/>
                <w:sz w:val="24"/>
              </w:rPr>
              <w:t>报价为人民币报价，留至小数点后二位。</w:t>
            </w:r>
          </w:p>
          <w:p>
            <w:pPr>
              <w:keepNext w:val="0"/>
              <w:keepLines w:val="0"/>
              <w:suppressLineNumbers w:val="0"/>
              <w:spacing w:before="0" w:beforeAutospacing="0" w:after="0" w:afterAutospacing="0"/>
              <w:ind w:left="0" w:right="0"/>
              <w:jc w:val="both"/>
              <w:rPr>
                <w:rFonts w:hint="eastAsia"/>
                <w:vertAlign w:val="baseline"/>
                <w:lang w:eastAsia="zh-CN"/>
              </w:rPr>
            </w:pPr>
            <w:r>
              <w:rPr>
                <w:rFonts w:hint="eastAsia" w:ascii="RASTTH+FZFSK--GBK1-0" w:hAnsi="RASTTH+FZFSK--GBK1-0" w:cs="RASTTH+FZFSK--GBK1-0"/>
                <w:color w:val="000000"/>
                <w:spacing w:val="-2"/>
                <w:sz w:val="24"/>
                <w:lang w:val="en-US" w:eastAsia="zh-CN"/>
              </w:rPr>
              <w:t>2、总</w:t>
            </w:r>
            <w:r>
              <w:rPr>
                <w:rFonts w:hint="default" w:ascii="RASTTH+FZFSK--GBK1-0" w:hAnsi="RASTTH+FZFSK--GBK1-0" w:cs="RASTTH+FZFSK--GBK1-0"/>
                <w:color w:val="000000"/>
                <w:spacing w:val="-2"/>
                <w:sz w:val="24"/>
              </w:rPr>
              <w:t>价包括所有成本费用和服务商应承担的一切税费，包括但不限于办公、交通、人员差</w:t>
            </w:r>
            <w:r>
              <w:rPr>
                <w:rFonts w:hint="default" w:ascii="RASTTH+FZFSK--GBK1-0" w:hAnsi="RASTTH+FZFSK--GBK1-0" w:cs="RASTTH+FZFSK--GBK1-0"/>
                <w:color w:val="000000"/>
                <w:spacing w:val="0"/>
                <w:sz w:val="24"/>
              </w:rPr>
              <w:t>旅、文件、税费、工具费用及其他管理费用等。该报价为固定包干价</w:t>
            </w:r>
            <w:r>
              <w:rPr>
                <w:rFonts w:hint="eastAsia" w:ascii="RASTTH+FZFSK--GBK1-0" w:hAnsi="RASTTH+FZFSK--GBK1-0" w:cs="RASTTH+FZFSK--GBK1-0"/>
                <w:color w:val="000000"/>
                <w:spacing w:val="0"/>
                <w:sz w:val="24"/>
                <w:lang w:eastAsia="zh-CN"/>
              </w:rPr>
              <w:t>。</w:t>
            </w:r>
          </w:p>
        </w:tc>
      </w:tr>
    </w:tbl>
    <w:p>
      <w:pPr>
        <w:keepNext w:val="0"/>
        <w:keepLines w:val="0"/>
        <w:pageBreakBefore w:val="0"/>
        <w:widowControl w:val="0"/>
        <w:kinsoku/>
        <w:wordWrap/>
        <w:overflowPunct/>
        <w:topLinePunct w:val="0"/>
        <w:autoSpaceDE w:val="0"/>
        <w:autoSpaceDN w:val="0"/>
        <w:bidi w:val="0"/>
        <w:adjustRightInd/>
        <w:snapToGrid/>
        <w:spacing w:before="88" w:after="0" w:line="20" w:lineRule="exact"/>
        <w:jc w:val="both"/>
        <w:textAlignment w:val="auto"/>
        <w:rPr>
          <w:rFonts w:hint="eastAsia" w:asciiTheme="minorEastAsia" w:hAnsiTheme="minorEastAsia" w:cstheme="minorEastAsia"/>
          <w:color w:val="000000"/>
          <w:sz w:val="24"/>
          <w:szCs w:val="24"/>
          <w:lang w:val="en-US" w:eastAsia="zh-CN"/>
        </w:rPr>
      </w:pPr>
    </w:p>
    <w:p>
      <w:pPr>
        <w:keepNext w:val="0"/>
        <w:keepLines w:val="0"/>
        <w:pageBreakBefore w:val="0"/>
        <w:widowControl w:val="0"/>
        <w:kinsoku/>
        <w:wordWrap/>
        <w:overflowPunct/>
        <w:topLinePunct w:val="0"/>
        <w:autoSpaceDE w:val="0"/>
        <w:autoSpaceDN w:val="0"/>
        <w:bidi w:val="0"/>
        <w:adjustRightInd/>
        <w:snapToGrid/>
        <w:spacing w:before="88" w:after="0" w:line="500" w:lineRule="exact"/>
        <w:jc w:val="both"/>
        <w:textAlignment w:val="auto"/>
        <w:rPr>
          <w:rFonts w:hint="eastAsia" w:asciiTheme="minorEastAsia" w:hAnsiTheme="minorEastAsia" w:cstheme="minorEastAsia"/>
          <w:color w:val="000000"/>
          <w:sz w:val="24"/>
          <w:szCs w:val="24"/>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val="0"/>
        <w:autoSpaceDN w:val="0"/>
        <w:bidi w:val="0"/>
        <w:adjustRightInd/>
        <w:snapToGrid/>
        <w:spacing w:before="88" w:after="0" w:line="20" w:lineRule="exact"/>
        <w:jc w:val="both"/>
        <w:textAlignment w:val="auto"/>
        <w:rPr>
          <w:rFonts w:hint="default" w:eastAsia="宋体" w:asciiTheme="minorEastAsia" w:hAnsiTheme="minorEastAsia" w:cstheme="minorEastAsia"/>
          <w:color w:val="00000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0000000000000000000"/>
    <w:charset w:val="00"/>
    <w:family w:val="auto"/>
    <w:pitch w:val="default"/>
    <w:sig w:usb0="00000000" w:usb1="00000000" w:usb2="00000000" w:usb3="00000000" w:csb0="00000000" w:csb1="0000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altName w:val="方正小标宋简体"/>
    <w:panose1 w:val="00000000000000000000"/>
    <w:charset w:val="00"/>
    <w:family w:val="auto"/>
    <w:pitch w:val="default"/>
    <w:sig w:usb0="00000000" w:usb1="00000000" w:usb2="00000000" w:usb3="00000000" w:csb0="00000000" w:csb1="00000000"/>
  </w:font>
  <w:font w:name="微软雅黑">
    <w:altName w:val="方正黑体_GBK"/>
    <w:panose1 w:val="020B0503020204020204"/>
    <w:charset w:val="86"/>
    <w:family w:val="swiss"/>
    <w:pitch w:val="default"/>
    <w:sig w:usb0="00000000" w:usb1="00000000" w:usb2="00000016" w:usb3="00000000" w:csb0="0004001F" w:csb1="00000000"/>
  </w:font>
  <w:font w:name="RASTTH+FZFSK--GBK1-0">
    <w:altName w:val="DejaVu Math TeX Gyre"/>
    <w:panose1 w:val="02000500000000000000"/>
    <w:charset w:val="01"/>
    <w:family w:val="auto"/>
    <w:pitch w:val="default"/>
    <w:sig w:usb0="00000000" w:usb1="00000000" w:usb2="01010101" w:usb3="01010101" w:csb0="01010101" w:csb1="01010101"/>
  </w:font>
  <w:font w:name="DejaVu Math TeX Gyre">
    <w:panose1 w:val="02000503000000000000"/>
    <w:charset w:val="00"/>
    <w:family w:val="auto"/>
    <w:pitch w:val="default"/>
    <w:sig w:usb0="A10000EF" w:usb1="4201F9EE" w:usb2="02000000" w:usb3="00000000" w:csb0="60000193" w:csb1="0DD4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7998E0"/>
    <w:multiLevelType w:val="singleLevel"/>
    <w:tmpl w:val="977998E0"/>
    <w:lvl w:ilvl="0" w:tentative="0">
      <w:start w:val="3"/>
      <w:numFmt w:val="decimal"/>
      <w:suff w:val="nothing"/>
      <w:lvlText w:val="%1、"/>
      <w:lvlJc w:val="left"/>
      <w:pPr>
        <w:ind w:left="60"/>
      </w:pPr>
    </w:lvl>
  </w:abstractNum>
  <w:abstractNum w:abstractNumId="1">
    <w:nsid w:val="D7FAD57A"/>
    <w:multiLevelType w:val="singleLevel"/>
    <w:tmpl w:val="D7FAD57A"/>
    <w:lvl w:ilvl="0" w:tentative="0">
      <w:start w:val="1"/>
      <w:numFmt w:val="decimal"/>
      <w:suff w:val="nothing"/>
      <w:lvlText w:val="%1、"/>
      <w:lvlJc w:val="left"/>
    </w:lvl>
  </w:abstractNum>
  <w:abstractNum w:abstractNumId="2">
    <w:nsid w:val="F0FE794F"/>
    <w:multiLevelType w:val="singleLevel"/>
    <w:tmpl w:val="F0FE794F"/>
    <w:lvl w:ilvl="0" w:tentative="0">
      <w:start w:val="1"/>
      <w:numFmt w:val="chineseCounting"/>
      <w:suff w:val="nothing"/>
      <w:lvlText w:val="%1、"/>
      <w:lvlJc w:val="left"/>
      <w:rPr>
        <w:rFonts w:hint="eastAsia"/>
      </w:rPr>
    </w:lvl>
  </w:abstractNum>
  <w:abstractNum w:abstractNumId="3">
    <w:nsid w:val="FE6922EF"/>
    <w:multiLevelType w:val="singleLevel"/>
    <w:tmpl w:val="FE6922EF"/>
    <w:lvl w:ilvl="0" w:tentative="0">
      <w:start w:val="4"/>
      <w:numFmt w:val="chineseCounting"/>
      <w:suff w:val="nothing"/>
      <w:lvlText w:val="%1、"/>
      <w:lvlJc w:val="left"/>
      <w:rPr>
        <w:rFonts w:hint="eastAsia"/>
      </w:rPr>
    </w:lvl>
  </w:abstractNum>
  <w:abstractNum w:abstractNumId="4">
    <w:nsid w:val="73EE6982"/>
    <w:multiLevelType w:val="singleLevel"/>
    <w:tmpl w:val="73EE6982"/>
    <w:lvl w:ilvl="0" w:tentative="0">
      <w:start w:val="3"/>
      <w:numFmt w:val="decimal"/>
      <w:suff w:val="nothing"/>
      <w:lvlText w:val="（%1）"/>
      <w:lvlJc w:val="left"/>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57B407B"/>
    <w:rsid w:val="0FEA47F7"/>
    <w:rsid w:val="15BBD6D9"/>
    <w:rsid w:val="1B7F3129"/>
    <w:rsid w:val="1D7C28D3"/>
    <w:rsid w:val="1D9F8092"/>
    <w:rsid w:val="1E944953"/>
    <w:rsid w:val="22487CBE"/>
    <w:rsid w:val="27C70224"/>
    <w:rsid w:val="2D7D1BFB"/>
    <w:rsid w:val="3377C154"/>
    <w:rsid w:val="37DF14C5"/>
    <w:rsid w:val="3B0D4493"/>
    <w:rsid w:val="3BD32BCE"/>
    <w:rsid w:val="3BDF5D06"/>
    <w:rsid w:val="3BFBC242"/>
    <w:rsid w:val="3D7FAF5B"/>
    <w:rsid w:val="3F9969AC"/>
    <w:rsid w:val="4B4F80FC"/>
    <w:rsid w:val="4C901FF6"/>
    <w:rsid w:val="57592B04"/>
    <w:rsid w:val="5BEED382"/>
    <w:rsid w:val="5C7A7124"/>
    <w:rsid w:val="5FFBE56B"/>
    <w:rsid w:val="5FFF564E"/>
    <w:rsid w:val="625FDDAE"/>
    <w:rsid w:val="66F74486"/>
    <w:rsid w:val="68FFC0E3"/>
    <w:rsid w:val="6B6F0F14"/>
    <w:rsid w:val="6EFB84C3"/>
    <w:rsid w:val="72BD4E76"/>
    <w:rsid w:val="75BC8F78"/>
    <w:rsid w:val="76FFC0D5"/>
    <w:rsid w:val="7777514F"/>
    <w:rsid w:val="77E71CDB"/>
    <w:rsid w:val="77F4BA90"/>
    <w:rsid w:val="7BD3B4C6"/>
    <w:rsid w:val="7C9A3E06"/>
    <w:rsid w:val="7CE4C02A"/>
    <w:rsid w:val="7DDD59AC"/>
    <w:rsid w:val="7DDE0C23"/>
    <w:rsid w:val="7EA6564E"/>
    <w:rsid w:val="A72BCB94"/>
    <w:rsid w:val="AF7E452B"/>
    <w:rsid w:val="BAFBDB84"/>
    <w:rsid w:val="BBDF435F"/>
    <w:rsid w:val="BE97DDC8"/>
    <w:rsid w:val="BF2A2E81"/>
    <w:rsid w:val="BFF5E2D7"/>
    <w:rsid w:val="C2DB5465"/>
    <w:rsid w:val="CBABBFB4"/>
    <w:rsid w:val="E0BD3211"/>
    <w:rsid w:val="E71FA118"/>
    <w:rsid w:val="EBFF827C"/>
    <w:rsid w:val="EDB7FF96"/>
    <w:rsid w:val="EEDFA325"/>
    <w:rsid w:val="EF1C9C00"/>
    <w:rsid w:val="F297EB24"/>
    <w:rsid w:val="F356A22B"/>
    <w:rsid w:val="F57B407B"/>
    <w:rsid w:val="F7E53713"/>
    <w:rsid w:val="FBF56443"/>
    <w:rsid w:val="FBFFEB71"/>
    <w:rsid w:val="FDEE10F0"/>
    <w:rsid w:val="FF5EFE6F"/>
    <w:rsid w:val="FFDF62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widowControl/>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ody Text Indent 2"/>
    <w:basedOn w:val="1"/>
    <w:qFormat/>
    <w:uiPriority w:val="0"/>
    <w:pPr>
      <w:widowControl/>
      <w:autoSpaceDE w:val="0"/>
      <w:autoSpaceDN w:val="0"/>
      <w:spacing w:line="320" w:lineRule="exact"/>
      <w:ind w:left="525" w:leftChars="250" w:firstLine="420" w:firstLineChars="200"/>
      <w:textAlignment w:val="bottom"/>
    </w:pPr>
    <w:rPr>
      <w:rFonts w:ascii="宋体" w:hAnsi="宋体"/>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 黑体"/>
    <w:basedOn w:val="1"/>
    <w:qFormat/>
    <w:uiPriority w:val="0"/>
    <w:rPr>
      <w:rFonts w:hint="eastAsia" w:ascii="黑体" w:hAnsi="黑体" w:eastAsia="黑体" w:cs="黑体"/>
      <w:sz w:val="32"/>
    </w:rPr>
  </w:style>
  <w:style w:type="paragraph" w:customStyle="1" w:styleId="9">
    <w:name w:val=" 仿宋_GB2312"/>
    <w:basedOn w:val="1"/>
    <w:qFormat/>
    <w:uiPriority w:val="0"/>
    <w:rPr>
      <w:rFonts w:hint="eastAsia" w:ascii="仿宋_GB2312" w:hAnsi="仿宋_GB2312" w:eastAsia="仿宋_GB2312" w:cs="仿宋_GB2312"/>
      <w:sz w:val="32"/>
    </w:rPr>
  </w:style>
  <w:style w:type="paragraph" w:customStyle="1" w:styleId="10">
    <w:name w:val=" 楷体_GB2312"/>
    <w:basedOn w:val="1"/>
    <w:qFormat/>
    <w:uiPriority w:val="0"/>
    <w:rPr>
      <w:rFonts w:hint="eastAsia" w:ascii="楷体_GB2312" w:hAnsi="楷体_GB2312" w:eastAsia="楷体_GB2312" w:cs="楷体_GB2312"/>
      <w:sz w:val="32"/>
    </w:rPr>
  </w:style>
  <w:style w:type="paragraph" w:customStyle="1" w:styleId="11">
    <w:name w:val=" 方正小标宋简体"/>
    <w:basedOn w:val="1"/>
    <w:qFormat/>
    <w:uiPriority w:val="0"/>
    <w:rPr>
      <w:rFonts w:hint="eastAsia" w:ascii="方正小标宋简体" w:hAnsi="方正小标宋简体" w:eastAsia="方正小标宋简体" w:cs="方正小标宋简体"/>
      <w:sz w:val="32"/>
    </w:rPr>
  </w:style>
  <w:style w:type="paragraph" w:customStyle="1" w:styleId="12">
    <w:name w:val=" 方正小标宋_GBK"/>
    <w:basedOn w:val="1"/>
    <w:qFormat/>
    <w:uiPriority w:val="0"/>
    <w:rPr>
      <w:rFonts w:hint="eastAsia" w:ascii="方正小标宋_GBK”" w:hAnsi="方正小标宋_GBK”" w:eastAsia="方正小标宋_GBK”" w:cs="方正小标宋_GBK”"/>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1790</Words>
  <Characters>1861</Characters>
  <Lines>1</Lines>
  <Paragraphs>1</Paragraphs>
  <TotalTime>0</TotalTime>
  <ScaleCrop>false</ScaleCrop>
  <LinksUpToDate>false</LinksUpToDate>
  <CharactersWithSpaces>3035</CharactersWithSpaces>
  <Application>WPS Office_11.8.2.1127_F1E327BC-269C-435d-A152-05C5408002CA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2025-11-25T06:55:00Z</dcterms:created>
  <dc:creator>陈嘉熙</dc:creator>
  <cp:lastModifiedBy>陈嘉熙</cp:lastModifiedBy>
  <cp:lastPrinted>2026-01-08T09:20:00Z</cp:lastPrinted>
  <dcterms:modified xsi:type="dcterms:W3CDTF">2026-01-26T14:33:46Z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A3C6C944215F56D2C2A54B69553D788B</vt:lpwstr>
  </property>
  <property fmtid="{D5CDD505-2E9C-101B-9397-08002B2CF9AE}" pid="4" name="KSOTemplateDocerSaveRecord">
    <vt:lpwstr>eyJoZGlkIjoiNGUxNWQ2ZjMwYTg5ZGNmMjUwNGE3MmVjYTc5ODQwZTciLCJ1c2VySWQiOiIyOTg1NzI3MzgifQ==</vt:lpwstr>
  </property>
</Properties>
</file>