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2E538561" w:rsidR="00DC1743" w:rsidRDefault="003E3352" w:rsidP="003E3352">
      <w:pPr>
        <w:jc w:val="center"/>
        <w:rPr>
          <w:rFonts w:hint="eastAsia"/>
          <w:b/>
          <w:sz w:val="32"/>
          <w:szCs w:val="32"/>
        </w:rPr>
      </w:pPr>
      <w:r>
        <w:rPr>
          <w:rFonts w:hint="eastAsia"/>
          <w:b/>
          <w:sz w:val="32"/>
          <w:szCs w:val="32"/>
        </w:rPr>
        <w:t>高性能工作站采购</w:t>
      </w:r>
    </w:p>
    <w:p w14:paraId="1367EF08" w14:textId="075E5AB4" w:rsidR="003755F4" w:rsidRDefault="007A7713" w:rsidP="003E3352">
      <w:pPr>
        <w:jc w:val="center"/>
        <w:rPr>
          <w:rFonts w:hint="eastAsia"/>
          <w:b/>
          <w:sz w:val="32"/>
          <w:szCs w:val="32"/>
        </w:rPr>
      </w:pPr>
      <w:r>
        <w:rPr>
          <w:rFonts w:hint="eastAsia"/>
          <w:b/>
          <w:sz w:val="32"/>
          <w:szCs w:val="32"/>
        </w:rPr>
        <w:t>需求文件</w:t>
      </w:r>
    </w:p>
    <w:p w14:paraId="4B733095" w14:textId="77777777" w:rsidR="00A76012" w:rsidRDefault="00A76012" w:rsidP="003E3352">
      <w:pPr>
        <w:jc w:val="center"/>
        <w:rPr>
          <w:rFonts w:hint="eastAsia"/>
          <w:b/>
          <w:sz w:val="32"/>
          <w:szCs w:val="32"/>
        </w:rPr>
      </w:pPr>
    </w:p>
    <w:p w14:paraId="3B791D76" w14:textId="36F51C1E" w:rsidR="003755F4" w:rsidRPr="003E3352" w:rsidRDefault="007A7713">
      <w:pPr>
        <w:rPr>
          <w:rFonts w:ascii="仿宋" w:eastAsia="仿宋" w:hAnsi="仿宋" w:hint="eastAsia"/>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ED6D6C">
        <w:rPr>
          <w:rFonts w:ascii="仿宋" w:eastAsia="仿宋" w:hAnsi="仿宋"/>
          <w:sz w:val="28"/>
          <w:szCs w:val="28"/>
        </w:rPr>
        <w:t>1</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DA19D4">
        <w:rPr>
          <w:rFonts w:ascii="仿宋" w:eastAsia="仿宋" w:hAnsi="仿宋"/>
          <w:sz w:val="28"/>
          <w:szCs w:val="28"/>
        </w:rPr>
        <w:t>50500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435C6CF9" w14:textId="77777777" w:rsidR="00723EB0" w:rsidRDefault="00723EB0" w:rsidP="006E1DF6">
            <w:pPr>
              <w:jc w:val="center"/>
              <w:rPr>
                <w:rFonts w:ascii="Times New Roman" w:eastAsia="宋体" w:hAnsi="Times New Roman" w:cs="Times New Roman"/>
                <w:sz w:val="20"/>
                <w:szCs w:val="24"/>
              </w:rPr>
            </w:pPr>
            <w:r w:rsidRPr="00723EB0">
              <w:rPr>
                <w:rFonts w:ascii="Times New Roman" w:eastAsia="宋体" w:hAnsi="Times New Roman" w:cs="Times New Roman" w:hint="eastAsia"/>
                <w:sz w:val="20"/>
                <w:szCs w:val="24"/>
              </w:rPr>
              <w:t>乂迅</w:t>
            </w:r>
            <w:r w:rsidRPr="00723EB0">
              <w:rPr>
                <w:rFonts w:ascii="Times New Roman" w:eastAsia="宋体" w:hAnsi="Times New Roman" w:cs="Times New Roman" w:hint="eastAsia"/>
                <w:sz w:val="20"/>
                <w:szCs w:val="24"/>
              </w:rPr>
              <w:t>AT7410-XU</w:t>
            </w:r>
          </w:p>
          <w:p w14:paraId="39C6265D" w14:textId="7F679217" w:rsidR="003E3352" w:rsidRDefault="00ED6D6C"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高性能图形工作站</w:t>
            </w:r>
          </w:p>
        </w:tc>
        <w:tc>
          <w:tcPr>
            <w:tcW w:w="4111" w:type="dxa"/>
            <w:vAlign w:val="center"/>
          </w:tcPr>
          <w:p w14:paraId="6185DA80" w14:textId="5EF84FDF" w:rsidR="00090197" w:rsidRPr="00090197" w:rsidRDefault="00DA19D4" w:rsidP="00090197">
            <w:pPr>
              <w:rPr>
                <w:rFonts w:ascii="Times New Roman" w:eastAsia="宋体" w:hAnsi="Times New Roman" w:cs="Times New Roman"/>
                <w:sz w:val="20"/>
                <w:szCs w:val="24"/>
              </w:rPr>
            </w:pPr>
            <w:r w:rsidRPr="00DA19D4">
              <w:rPr>
                <w:rFonts w:ascii="Times New Roman" w:eastAsia="宋体" w:hAnsi="Times New Roman" w:cs="Times New Roman"/>
                <w:sz w:val="20"/>
                <w:szCs w:val="24"/>
              </w:rPr>
              <w:t>AMD 9950XD3</w:t>
            </w:r>
            <w:r w:rsidR="00090197" w:rsidRPr="00090197">
              <w:rPr>
                <w:rFonts w:ascii="Times New Roman" w:eastAsia="宋体" w:hAnsi="Times New Roman" w:cs="Times New Roman"/>
                <w:sz w:val="20"/>
                <w:szCs w:val="24"/>
              </w:rPr>
              <w:t xml:space="preserve">  </w:t>
            </w:r>
          </w:p>
          <w:p w14:paraId="671C4FD7"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360</w:t>
            </w:r>
            <w:proofErr w:type="gramStart"/>
            <w:r w:rsidRPr="00090197">
              <w:rPr>
                <w:rFonts w:ascii="Times New Roman" w:eastAsia="宋体" w:hAnsi="Times New Roman" w:cs="Times New Roman"/>
                <w:sz w:val="20"/>
                <w:szCs w:val="24"/>
              </w:rPr>
              <w:t>一</w:t>
            </w:r>
            <w:proofErr w:type="gramEnd"/>
            <w:r w:rsidRPr="00090197">
              <w:rPr>
                <w:rFonts w:ascii="Times New Roman" w:eastAsia="宋体" w:hAnsi="Times New Roman" w:cs="Times New Roman"/>
                <w:sz w:val="20"/>
                <w:szCs w:val="24"/>
              </w:rPr>
              <w:t>体式水冷散热器</w:t>
            </w:r>
            <w:r w:rsidRPr="00090197">
              <w:rPr>
                <w:rFonts w:ascii="Times New Roman" w:eastAsia="宋体" w:hAnsi="Times New Roman" w:cs="Times New Roman"/>
                <w:sz w:val="20"/>
                <w:szCs w:val="24"/>
              </w:rPr>
              <w:t xml:space="preserve">   </w:t>
            </w:r>
          </w:p>
          <w:p w14:paraId="71E3896C" w14:textId="77777777" w:rsidR="00DA19D4" w:rsidRDefault="00DA19D4" w:rsidP="00090197">
            <w:pPr>
              <w:rPr>
                <w:rFonts w:ascii="Times New Roman" w:eastAsia="宋体" w:hAnsi="Times New Roman" w:cs="Times New Roman"/>
                <w:sz w:val="20"/>
                <w:szCs w:val="24"/>
              </w:rPr>
            </w:pPr>
            <w:r w:rsidRPr="00DA19D4">
              <w:rPr>
                <w:rFonts w:ascii="Times New Roman" w:eastAsia="宋体" w:hAnsi="Times New Roman" w:cs="Times New Roman" w:hint="eastAsia"/>
                <w:sz w:val="20"/>
                <w:szCs w:val="24"/>
              </w:rPr>
              <w:t>华硕</w:t>
            </w:r>
            <w:r w:rsidRPr="00DA19D4">
              <w:rPr>
                <w:rFonts w:ascii="Times New Roman" w:eastAsia="宋体" w:hAnsi="Times New Roman" w:cs="Times New Roman"/>
                <w:sz w:val="20"/>
                <w:szCs w:val="24"/>
              </w:rPr>
              <w:t>TUF GAMING X870E-PLUS WIFI7</w:t>
            </w:r>
          </w:p>
          <w:p w14:paraId="7CEA4CCD" w14:textId="44511A07" w:rsidR="00090197" w:rsidRPr="00090197" w:rsidRDefault="00DA19D4" w:rsidP="00090197">
            <w:pPr>
              <w:rPr>
                <w:rFonts w:ascii="Times New Roman" w:eastAsia="宋体" w:hAnsi="Times New Roman" w:cs="Times New Roman"/>
                <w:sz w:val="20"/>
                <w:szCs w:val="24"/>
              </w:rPr>
            </w:pPr>
            <w:r w:rsidRPr="00DA19D4">
              <w:rPr>
                <w:rFonts w:ascii="Times New Roman" w:eastAsia="宋体" w:hAnsi="Times New Roman" w:cs="Times New Roman" w:hint="eastAsia"/>
                <w:sz w:val="20"/>
                <w:szCs w:val="24"/>
              </w:rPr>
              <w:t>海盗船</w:t>
            </w:r>
            <w:r w:rsidRPr="00DA19D4">
              <w:rPr>
                <w:rFonts w:ascii="Times New Roman" w:eastAsia="宋体" w:hAnsi="Times New Roman" w:cs="Times New Roman"/>
                <w:sz w:val="20"/>
                <w:szCs w:val="24"/>
              </w:rPr>
              <w:t xml:space="preserve"> DDR5 64G 6400</w:t>
            </w:r>
            <w:r>
              <w:rPr>
                <w:rFonts w:ascii="Times New Roman" w:eastAsia="宋体" w:hAnsi="Times New Roman" w:cs="Times New Roman"/>
                <w:sz w:val="20"/>
                <w:szCs w:val="24"/>
              </w:rPr>
              <w:t>*4</w:t>
            </w:r>
            <w:r w:rsidR="00090197" w:rsidRPr="00090197">
              <w:rPr>
                <w:rFonts w:ascii="Times New Roman" w:eastAsia="宋体" w:hAnsi="Times New Roman" w:cs="Times New Roman"/>
                <w:sz w:val="20"/>
                <w:szCs w:val="24"/>
              </w:rPr>
              <w:t xml:space="preserve">  </w:t>
            </w:r>
          </w:p>
          <w:p w14:paraId="315E2EC3" w14:textId="77777777" w:rsidR="00DA19D4" w:rsidRDefault="00DA19D4" w:rsidP="00090197">
            <w:pPr>
              <w:rPr>
                <w:rFonts w:ascii="Times New Roman" w:eastAsia="宋体" w:hAnsi="Times New Roman" w:cs="Times New Roman"/>
                <w:sz w:val="20"/>
                <w:szCs w:val="24"/>
              </w:rPr>
            </w:pPr>
            <w:proofErr w:type="gramStart"/>
            <w:r w:rsidRPr="00DA19D4">
              <w:rPr>
                <w:rFonts w:ascii="Times New Roman" w:eastAsia="宋体" w:hAnsi="Times New Roman" w:cs="Times New Roman" w:hint="eastAsia"/>
                <w:sz w:val="20"/>
                <w:szCs w:val="24"/>
              </w:rPr>
              <w:t>致态</w:t>
            </w:r>
            <w:proofErr w:type="gramEnd"/>
            <w:r w:rsidRPr="00DA19D4">
              <w:rPr>
                <w:rFonts w:ascii="Times New Roman" w:eastAsia="宋体" w:hAnsi="Times New Roman" w:cs="Times New Roman"/>
                <w:sz w:val="20"/>
                <w:szCs w:val="24"/>
              </w:rPr>
              <w:t xml:space="preserve"> 7100 4TB</w:t>
            </w:r>
          </w:p>
          <w:p w14:paraId="761FBD90" w14:textId="07BB49EB" w:rsidR="00090197" w:rsidRPr="00090197" w:rsidRDefault="00DA19D4" w:rsidP="00090197">
            <w:pPr>
              <w:rPr>
                <w:rFonts w:ascii="Times New Roman" w:eastAsia="宋体" w:hAnsi="Times New Roman" w:cs="Times New Roman"/>
                <w:sz w:val="20"/>
                <w:szCs w:val="24"/>
              </w:rPr>
            </w:pPr>
            <w:r w:rsidRPr="00DA19D4">
              <w:rPr>
                <w:rFonts w:ascii="Times New Roman" w:eastAsia="宋体" w:hAnsi="Times New Roman" w:cs="Times New Roman" w:hint="eastAsia"/>
                <w:sz w:val="20"/>
                <w:szCs w:val="24"/>
              </w:rPr>
              <w:t>希捷</w:t>
            </w:r>
            <w:r w:rsidRPr="00DA19D4">
              <w:rPr>
                <w:rFonts w:ascii="Times New Roman" w:eastAsia="宋体" w:hAnsi="Times New Roman" w:cs="Times New Roman"/>
                <w:sz w:val="20"/>
                <w:szCs w:val="24"/>
              </w:rPr>
              <w:t xml:space="preserve"> SATA 18TB </w:t>
            </w:r>
            <w:r w:rsidRPr="00DA19D4">
              <w:rPr>
                <w:rFonts w:ascii="Times New Roman" w:eastAsia="宋体" w:hAnsi="Times New Roman" w:cs="Times New Roman"/>
                <w:sz w:val="20"/>
                <w:szCs w:val="24"/>
              </w:rPr>
              <w:t>企业级</w:t>
            </w:r>
            <w:r w:rsidR="00090197" w:rsidRPr="00090197">
              <w:rPr>
                <w:rFonts w:ascii="Times New Roman" w:eastAsia="宋体" w:hAnsi="Times New Roman" w:cs="Times New Roman"/>
                <w:sz w:val="20"/>
                <w:szCs w:val="24"/>
              </w:rPr>
              <w:t xml:space="preserve">  </w:t>
            </w:r>
          </w:p>
          <w:p w14:paraId="3AB840F6" w14:textId="4045056B" w:rsidR="00090197" w:rsidRPr="00090197" w:rsidRDefault="00DA19D4"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显卡：</w:t>
            </w:r>
            <w:r w:rsidRPr="00DA19D4">
              <w:rPr>
                <w:rFonts w:ascii="Times New Roman" w:eastAsia="宋体" w:hAnsi="Times New Roman" w:cs="Times New Roman"/>
                <w:sz w:val="20"/>
                <w:szCs w:val="24"/>
              </w:rPr>
              <w:t>RTX5090 32G</w:t>
            </w:r>
            <w:r w:rsidR="00090197" w:rsidRPr="00090197">
              <w:rPr>
                <w:rFonts w:ascii="Times New Roman" w:eastAsia="宋体" w:hAnsi="Times New Roman" w:cs="Times New Roman"/>
                <w:sz w:val="20"/>
                <w:szCs w:val="24"/>
              </w:rPr>
              <w:t xml:space="preserve"> </w:t>
            </w:r>
          </w:p>
          <w:p w14:paraId="710AE2CA" w14:textId="77777777" w:rsidR="00DA19D4"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塔式机箱</w:t>
            </w:r>
          </w:p>
          <w:p w14:paraId="02F5C03A" w14:textId="77777777" w:rsidR="00C36FF3" w:rsidRDefault="00DA19D4"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电源</w:t>
            </w:r>
            <w:r w:rsidRPr="00DA19D4">
              <w:rPr>
                <w:rFonts w:ascii="Times New Roman" w:eastAsia="宋体" w:hAnsi="Times New Roman" w:cs="Times New Roman"/>
                <w:sz w:val="20"/>
                <w:szCs w:val="24"/>
              </w:rPr>
              <w:t>1250W</w:t>
            </w:r>
          </w:p>
          <w:p w14:paraId="3CBCE3A9" w14:textId="4BEE724C" w:rsidR="00DA19D4" w:rsidRDefault="00DA19D4"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三年保修</w:t>
            </w:r>
          </w:p>
        </w:tc>
        <w:tc>
          <w:tcPr>
            <w:tcW w:w="992" w:type="dxa"/>
            <w:vAlign w:val="center"/>
          </w:tcPr>
          <w:p w14:paraId="35769300" w14:textId="277CF656" w:rsidR="003E3352" w:rsidRDefault="00DA19D4"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50500</w:t>
            </w:r>
          </w:p>
        </w:tc>
        <w:tc>
          <w:tcPr>
            <w:tcW w:w="567" w:type="dxa"/>
            <w:vAlign w:val="center"/>
          </w:tcPr>
          <w:p w14:paraId="20F24137" w14:textId="7F29D0BD" w:rsidR="003E3352" w:rsidRDefault="002847A0"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1142936E" w:rsidR="003E3352" w:rsidRDefault="00DA19D4"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50500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0A41EEF4" w:rsidR="003E3352" w:rsidRDefault="00DA19D4"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50500</w:t>
            </w:r>
          </w:p>
        </w:tc>
      </w:tr>
    </w:tbl>
    <w:p w14:paraId="422B7A20" w14:textId="5C9FC267" w:rsidR="003755F4" w:rsidRPr="00ED6D6C" w:rsidRDefault="003755F4">
      <w:pPr>
        <w:rPr>
          <w:rFonts w:hint="eastAsia"/>
        </w:rPr>
      </w:pPr>
    </w:p>
    <w:p w14:paraId="77F1D191" w14:textId="130193F3" w:rsidR="00A76012" w:rsidRDefault="00A76012">
      <w:pPr>
        <w:rPr>
          <w:rFonts w:hint="eastAsia"/>
        </w:rPr>
      </w:pPr>
    </w:p>
    <w:p w14:paraId="3E9596E3" w14:textId="0BCA527E" w:rsidR="00A76012" w:rsidRDefault="00A76012">
      <w:pPr>
        <w:rPr>
          <w:rFonts w:hint="eastAsia"/>
        </w:rPr>
      </w:pPr>
    </w:p>
    <w:p w14:paraId="6BCB5EF2" w14:textId="74066C70" w:rsidR="00A76012" w:rsidRDefault="00A76012">
      <w:pPr>
        <w:rPr>
          <w:rFonts w:hint="eastAsia"/>
        </w:rPr>
      </w:pPr>
    </w:p>
    <w:p w14:paraId="18F901F5" w14:textId="77777777" w:rsidR="003755F4" w:rsidRDefault="003755F4">
      <w:pPr>
        <w:rPr>
          <w:rFonts w:hint="eastAsia"/>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3755F4" w14:paraId="2D2FE550" w14:textId="77777777">
        <w:trPr>
          <w:trHeight w:val="454"/>
          <w:jc w:val="center"/>
        </w:trPr>
        <w:tc>
          <w:tcPr>
            <w:tcW w:w="726" w:type="dxa"/>
            <w:vAlign w:val="center"/>
          </w:tcPr>
          <w:p w14:paraId="23CCCFCC"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b/>
                <w:szCs w:val="21"/>
              </w:rPr>
              <w:t>序号</w:t>
            </w:r>
          </w:p>
        </w:tc>
        <w:tc>
          <w:tcPr>
            <w:tcW w:w="8127" w:type="dxa"/>
            <w:gridSpan w:val="3"/>
            <w:vAlign w:val="center"/>
          </w:tcPr>
          <w:p w14:paraId="034C9D01"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trPr>
          <w:trHeight w:val="454"/>
          <w:jc w:val="center"/>
        </w:trPr>
        <w:tc>
          <w:tcPr>
            <w:tcW w:w="8853" w:type="dxa"/>
            <w:gridSpan w:val="4"/>
            <w:vAlign w:val="center"/>
          </w:tcPr>
          <w:p w14:paraId="217CFF84"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b/>
                <w:szCs w:val="21"/>
              </w:rPr>
              <w:t>（一）免费保修期内售后服务要求</w:t>
            </w:r>
          </w:p>
        </w:tc>
      </w:tr>
      <w:tr w:rsidR="003755F4" w14:paraId="7DA03A7D" w14:textId="77777777">
        <w:trPr>
          <w:trHeight w:val="939"/>
          <w:jc w:val="center"/>
        </w:trPr>
        <w:tc>
          <w:tcPr>
            <w:tcW w:w="726" w:type="dxa"/>
            <w:vAlign w:val="center"/>
          </w:tcPr>
          <w:p w14:paraId="1CD270CA" w14:textId="77777777" w:rsidR="003755F4" w:rsidRDefault="007A7713">
            <w:pPr>
              <w:widowControl/>
              <w:spacing w:line="360" w:lineRule="auto"/>
              <w:rPr>
                <w:rFonts w:ascii="宋体" w:eastAsia="宋体" w:hAnsi="宋体" w:cs="宋体" w:hint="eastAsia"/>
                <w:bCs/>
                <w:szCs w:val="21"/>
              </w:rPr>
            </w:pPr>
            <w:r>
              <w:rPr>
                <w:rFonts w:ascii="宋体" w:eastAsia="宋体" w:hAnsi="宋体" w:cs="宋体" w:hint="eastAsia"/>
                <w:bCs/>
                <w:szCs w:val="21"/>
              </w:rPr>
              <w:t>1</w:t>
            </w:r>
          </w:p>
        </w:tc>
        <w:tc>
          <w:tcPr>
            <w:tcW w:w="1514" w:type="dxa"/>
          </w:tcPr>
          <w:p w14:paraId="5E5C6B10" w14:textId="77777777" w:rsidR="0048389C" w:rsidRDefault="007A7713" w:rsidP="0048389C">
            <w:pPr>
              <w:widowControl/>
              <w:spacing w:line="360" w:lineRule="auto"/>
              <w:rPr>
                <w:rFonts w:ascii="宋体" w:eastAsia="宋体" w:hAnsi="宋体" w:cs="宋体" w:hint="eastAsia"/>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hint="eastAsia"/>
                <w:szCs w:val="21"/>
              </w:rPr>
            </w:pPr>
          </w:p>
          <w:p w14:paraId="47117574" w14:textId="77777777" w:rsidR="0048389C" w:rsidRDefault="0048389C" w:rsidP="0048389C">
            <w:pPr>
              <w:widowControl/>
              <w:spacing w:line="360" w:lineRule="auto"/>
              <w:rPr>
                <w:rFonts w:ascii="宋体" w:eastAsia="宋体" w:hAnsi="宋体" w:cs="宋体" w:hint="eastAsia"/>
                <w:szCs w:val="21"/>
              </w:rPr>
            </w:pPr>
          </w:p>
          <w:p w14:paraId="6BB28A1D" w14:textId="77777777" w:rsidR="0048389C" w:rsidRDefault="0048389C" w:rsidP="0048389C">
            <w:pPr>
              <w:widowControl/>
              <w:spacing w:line="360" w:lineRule="auto"/>
              <w:rPr>
                <w:rFonts w:ascii="宋体" w:eastAsia="宋体" w:hAnsi="宋体" w:cs="宋体" w:hint="eastAsia"/>
                <w:szCs w:val="21"/>
              </w:rPr>
            </w:pPr>
          </w:p>
          <w:p w14:paraId="56A80CA6" w14:textId="77777777" w:rsidR="0048389C" w:rsidRDefault="0048389C" w:rsidP="0048389C">
            <w:pPr>
              <w:widowControl/>
              <w:spacing w:line="360" w:lineRule="auto"/>
              <w:rPr>
                <w:rFonts w:ascii="宋体" w:eastAsia="宋体" w:hAnsi="宋体" w:cs="宋体" w:hint="eastAsia"/>
                <w:szCs w:val="21"/>
              </w:rPr>
            </w:pPr>
          </w:p>
          <w:p w14:paraId="642BC454" w14:textId="3B696DDA" w:rsidR="003755F4" w:rsidRDefault="007A7713" w:rsidP="0048389C">
            <w:pPr>
              <w:widowControl/>
              <w:spacing w:line="360" w:lineRule="auto"/>
              <w:rPr>
                <w:rFonts w:ascii="宋体" w:eastAsia="宋体" w:hAnsi="宋体" w:cs="宋体" w:hint="eastAsia"/>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10CEEE28" w14:textId="6D9323BC" w:rsidR="00B130C0" w:rsidRDefault="00B130C0" w:rsidP="00B130C0">
            <w:pPr>
              <w:widowControl/>
              <w:spacing w:line="360" w:lineRule="auto"/>
              <w:rPr>
                <w:rFonts w:ascii="宋体" w:eastAsia="宋体" w:hAnsi="宋体" w:cs="宋体" w:hint="eastAsia"/>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3C25F767" w14:textId="77777777" w:rsidR="00B130C0" w:rsidRDefault="00B130C0" w:rsidP="00B130C0">
            <w:pPr>
              <w:widowControl/>
              <w:spacing w:line="360" w:lineRule="auto"/>
              <w:rPr>
                <w:rFonts w:ascii="宋体" w:eastAsia="宋体" w:hAnsi="宋体" w:cs="宋体" w:hint="eastAsia"/>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如货物安装或配置了软件的，供应商保证相关软件均为正版软件</w:t>
            </w:r>
            <w:r w:rsidRPr="00B130C0">
              <w:rPr>
                <w:rFonts w:ascii="宋体" w:eastAsia="宋体" w:hAnsi="宋体" w:cs="宋体" w:hint="eastAsia"/>
                <w:szCs w:val="21"/>
              </w:rPr>
              <w:t>。</w:t>
            </w:r>
          </w:p>
          <w:p w14:paraId="198D7D86" w14:textId="1E4D2AF8" w:rsidR="00B130C0" w:rsidRDefault="00B130C0" w:rsidP="00B130C0">
            <w:pPr>
              <w:widowControl/>
              <w:spacing w:line="360" w:lineRule="auto"/>
              <w:rPr>
                <w:rFonts w:ascii="宋体" w:eastAsia="宋体" w:hAnsi="宋体" w:cs="宋体" w:hint="eastAsia"/>
                <w:szCs w:val="21"/>
              </w:rPr>
            </w:pPr>
            <w:r>
              <w:rPr>
                <w:rFonts w:ascii="宋体" w:eastAsia="宋体" w:hAnsi="宋体" w:cs="宋体" w:hint="eastAsia"/>
                <w:szCs w:val="21"/>
              </w:rPr>
              <w:lastRenderedPageBreak/>
              <w:t>1</w:t>
            </w:r>
            <w:r>
              <w:rPr>
                <w:rFonts w:ascii="宋体" w:eastAsia="宋体" w:hAnsi="宋体" w:cs="宋体"/>
                <w:szCs w:val="21"/>
              </w:rPr>
              <w:t>.4</w:t>
            </w:r>
            <w:r>
              <w:rPr>
                <w:rFonts w:ascii="宋体" w:eastAsia="宋体" w:hAnsi="宋体" w:cs="宋体" w:hint="eastAsia"/>
                <w:szCs w:val="21"/>
              </w:rPr>
              <w:t>供应商应将所提供货物的使用说明书、原厂保修卡等附随资料和附随配件、工具等交付给采购方；</w:t>
            </w:r>
          </w:p>
          <w:p w14:paraId="70DA313F" w14:textId="28996498" w:rsidR="00B130C0" w:rsidRPr="00B130C0" w:rsidRDefault="00B130C0" w:rsidP="00B130C0">
            <w:pPr>
              <w:widowControl/>
              <w:spacing w:line="360" w:lineRule="auto"/>
              <w:rPr>
                <w:rFonts w:ascii="宋体" w:eastAsia="宋体" w:hAnsi="宋体" w:cs="宋体" w:hint="eastAsia"/>
                <w:szCs w:val="21"/>
              </w:rPr>
            </w:pPr>
            <w:r>
              <w:rPr>
                <w:rFonts w:ascii="宋体" w:eastAsia="宋体" w:hAnsi="宋体" w:cs="宋体"/>
                <w:szCs w:val="21"/>
              </w:rPr>
              <w:t>1.5</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52EC98DB" w14:textId="77777777">
        <w:trPr>
          <w:trHeight w:val="454"/>
          <w:jc w:val="center"/>
        </w:trPr>
        <w:tc>
          <w:tcPr>
            <w:tcW w:w="726" w:type="dxa"/>
            <w:vAlign w:val="center"/>
          </w:tcPr>
          <w:p w14:paraId="06F0D050"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bCs/>
                <w:szCs w:val="21"/>
              </w:rPr>
              <w:lastRenderedPageBreak/>
              <w:t>2</w:t>
            </w:r>
          </w:p>
        </w:tc>
        <w:tc>
          <w:tcPr>
            <w:tcW w:w="1514" w:type="dxa"/>
          </w:tcPr>
          <w:p w14:paraId="23E7D04F" w14:textId="77777777" w:rsidR="0048389C" w:rsidRDefault="0048389C">
            <w:pPr>
              <w:widowControl/>
              <w:spacing w:line="360" w:lineRule="auto"/>
              <w:rPr>
                <w:rFonts w:ascii="宋体" w:eastAsia="宋体" w:hAnsi="宋体" w:cs="宋体" w:hint="eastAsia"/>
                <w:szCs w:val="21"/>
              </w:rPr>
            </w:pPr>
          </w:p>
          <w:p w14:paraId="1F874571" w14:textId="77777777" w:rsidR="0048389C" w:rsidRDefault="0048389C">
            <w:pPr>
              <w:widowControl/>
              <w:spacing w:line="360" w:lineRule="auto"/>
              <w:rPr>
                <w:rFonts w:ascii="宋体" w:eastAsia="宋体" w:hAnsi="宋体" w:cs="宋体" w:hint="eastAsia"/>
                <w:szCs w:val="21"/>
              </w:rPr>
            </w:pPr>
          </w:p>
          <w:p w14:paraId="5F744D20" w14:textId="0F2F2ABD"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维修响应及故障解决时间</w:t>
            </w:r>
          </w:p>
        </w:tc>
        <w:tc>
          <w:tcPr>
            <w:tcW w:w="6613" w:type="dxa"/>
            <w:gridSpan w:val="2"/>
          </w:tcPr>
          <w:p w14:paraId="0BBFAA15" w14:textId="096ABEA0" w:rsidR="003755F4" w:rsidRDefault="00C2090A">
            <w:pPr>
              <w:widowControl/>
              <w:spacing w:line="360" w:lineRule="auto"/>
              <w:rPr>
                <w:rFonts w:ascii="宋体" w:eastAsia="宋体" w:hAnsi="宋体" w:cs="宋体" w:hint="eastAsia"/>
                <w:b/>
                <w:szCs w:val="21"/>
              </w:rPr>
            </w:pPr>
            <w:r>
              <w:rPr>
                <w:rFonts w:ascii="宋体" w:eastAsia="宋体" w:hAnsi="宋体" w:cs="宋体" w:hint="eastAsia"/>
                <w:bCs/>
                <w:szCs w:val="21"/>
              </w:rPr>
              <w:t>保修期内如果有因高性能</w:t>
            </w:r>
            <w:r w:rsidR="0048389C">
              <w:rPr>
                <w:rFonts w:ascii="宋体" w:eastAsia="宋体" w:hAnsi="宋体" w:cs="宋体" w:hint="eastAsia"/>
                <w:bCs/>
                <w:szCs w:val="21"/>
              </w:rPr>
              <w:t>工作站</w:t>
            </w:r>
            <w:r>
              <w:rPr>
                <w:rFonts w:ascii="宋体" w:eastAsia="宋体" w:hAnsi="宋体" w:cs="宋体" w:hint="eastAsia"/>
                <w:bCs/>
                <w:szCs w:val="21"/>
              </w:rPr>
              <w:t>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3755F4" w14:paraId="37ED8FD2" w14:textId="77777777">
        <w:trPr>
          <w:trHeight w:val="454"/>
          <w:jc w:val="center"/>
        </w:trPr>
        <w:tc>
          <w:tcPr>
            <w:tcW w:w="726" w:type="dxa"/>
            <w:vMerge w:val="restart"/>
            <w:vAlign w:val="center"/>
          </w:tcPr>
          <w:p w14:paraId="59B0F05C"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3</w:t>
            </w:r>
          </w:p>
        </w:tc>
        <w:tc>
          <w:tcPr>
            <w:tcW w:w="1514" w:type="dxa"/>
            <w:vMerge w:val="restart"/>
            <w:vAlign w:val="center"/>
          </w:tcPr>
          <w:p w14:paraId="7401DB5A"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免费保修期</w:t>
            </w:r>
          </w:p>
        </w:tc>
        <w:tc>
          <w:tcPr>
            <w:tcW w:w="6613" w:type="dxa"/>
            <w:gridSpan w:val="2"/>
          </w:tcPr>
          <w:p w14:paraId="0648F50C" w14:textId="18DBB275" w:rsidR="003755F4" w:rsidRDefault="00B130C0">
            <w:pPr>
              <w:widowControl/>
              <w:spacing w:line="360" w:lineRule="auto"/>
              <w:rPr>
                <w:rFonts w:ascii="宋体" w:eastAsia="宋体" w:hAnsi="宋体" w:cs="宋体" w:hint="eastAsia"/>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Pr>
                <w:rFonts w:ascii="宋体" w:eastAsia="宋体" w:hAnsi="宋体" w:cs="宋体" w:hint="eastAsia"/>
                <w:bCs/>
                <w:szCs w:val="21"/>
                <w:u w:val="single"/>
              </w:rPr>
              <w:t>见规格参数部分</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trPr>
          <w:trHeight w:val="454"/>
          <w:jc w:val="center"/>
        </w:trPr>
        <w:tc>
          <w:tcPr>
            <w:tcW w:w="726" w:type="dxa"/>
            <w:vMerge/>
            <w:vAlign w:val="center"/>
          </w:tcPr>
          <w:p w14:paraId="2FB3498D" w14:textId="77777777" w:rsidR="003755F4" w:rsidRDefault="003755F4">
            <w:pPr>
              <w:widowControl/>
              <w:spacing w:line="360" w:lineRule="auto"/>
              <w:rPr>
                <w:rFonts w:ascii="宋体" w:eastAsia="宋体" w:hAnsi="宋体" w:cs="宋体" w:hint="eastAsia"/>
                <w:b/>
                <w:szCs w:val="21"/>
              </w:rPr>
            </w:pPr>
          </w:p>
        </w:tc>
        <w:tc>
          <w:tcPr>
            <w:tcW w:w="1514" w:type="dxa"/>
            <w:vMerge/>
            <w:vAlign w:val="center"/>
          </w:tcPr>
          <w:p w14:paraId="0C196D09" w14:textId="77777777" w:rsidR="003755F4" w:rsidRDefault="003755F4">
            <w:pPr>
              <w:widowControl/>
              <w:spacing w:line="360" w:lineRule="auto"/>
              <w:rPr>
                <w:rFonts w:ascii="宋体" w:eastAsia="宋体" w:hAnsi="宋体" w:cs="宋体" w:hint="eastAsia"/>
                <w:b/>
                <w:szCs w:val="21"/>
              </w:rPr>
            </w:pPr>
          </w:p>
        </w:tc>
        <w:tc>
          <w:tcPr>
            <w:tcW w:w="6613" w:type="dxa"/>
            <w:gridSpan w:val="2"/>
            <w:vAlign w:val="center"/>
          </w:tcPr>
          <w:p w14:paraId="46789855" w14:textId="7914A61E" w:rsidR="003755F4" w:rsidRDefault="00B130C0">
            <w:pPr>
              <w:widowControl/>
              <w:spacing w:line="360" w:lineRule="auto"/>
              <w:rPr>
                <w:rFonts w:ascii="宋体" w:eastAsia="宋体" w:hAnsi="宋体" w:cs="宋体" w:hint="eastAsia"/>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3C16E294" w14:textId="77777777">
        <w:trPr>
          <w:trHeight w:val="454"/>
          <w:jc w:val="center"/>
        </w:trPr>
        <w:tc>
          <w:tcPr>
            <w:tcW w:w="726" w:type="dxa"/>
            <w:vAlign w:val="center"/>
          </w:tcPr>
          <w:p w14:paraId="0631A86A"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4</w:t>
            </w:r>
          </w:p>
        </w:tc>
        <w:tc>
          <w:tcPr>
            <w:tcW w:w="1514" w:type="dxa"/>
            <w:vAlign w:val="center"/>
          </w:tcPr>
          <w:p w14:paraId="3A169C09"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技术文件</w:t>
            </w:r>
          </w:p>
        </w:tc>
        <w:tc>
          <w:tcPr>
            <w:tcW w:w="6613" w:type="dxa"/>
            <w:gridSpan w:val="2"/>
            <w:vAlign w:val="center"/>
          </w:tcPr>
          <w:p w14:paraId="106CE196" w14:textId="7DCF3ACD" w:rsidR="003755F4" w:rsidRDefault="007A7713">
            <w:pPr>
              <w:widowControl/>
              <w:spacing w:line="360" w:lineRule="auto"/>
              <w:rPr>
                <w:rFonts w:ascii="宋体" w:eastAsia="宋体" w:hAnsi="宋体" w:cs="宋体" w:hint="eastAsia"/>
                <w:b/>
                <w:szCs w:val="21"/>
              </w:rPr>
            </w:pPr>
            <w:r>
              <w:rPr>
                <w:rFonts w:ascii="宋体" w:eastAsia="宋体" w:hAnsi="宋体" w:cs="宋体" w:hint="eastAsia"/>
                <w:bCs/>
                <w:szCs w:val="21"/>
              </w:rPr>
              <w:t>供应商应提供全套、完整的书面技术资料</w:t>
            </w:r>
            <w:r w:rsidR="004A3B0D">
              <w:rPr>
                <w:rFonts w:ascii="宋体" w:eastAsia="宋体" w:hAnsi="宋体" w:cs="宋体" w:hint="eastAsia"/>
                <w:bCs/>
                <w:szCs w:val="21"/>
              </w:rPr>
              <w:t>。</w:t>
            </w:r>
          </w:p>
        </w:tc>
      </w:tr>
      <w:tr w:rsidR="003755F4" w14:paraId="02BD692B" w14:textId="77777777">
        <w:trPr>
          <w:trHeight w:val="454"/>
          <w:jc w:val="center"/>
        </w:trPr>
        <w:tc>
          <w:tcPr>
            <w:tcW w:w="8853" w:type="dxa"/>
            <w:gridSpan w:val="4"/>
            <w:vAlign w:val="center"/>
          </w:tcPr>
          <w:p w14:paraId="52F45714"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b/>
                <w:szCs w:val="21"/>
              </w:rPr>
              <w:t>（二）免费保修期外售后服务要求</w:t>
            </w:r>
          </w:p>
        </w:tc>
      </w:tr>
      <w:tr w:rsidR="003755F4" w14:paraId="6B4E9A29" w14:textId="77777777">
        <w:trPr>
          <w:trHeight w:val="1756"/>
          <w:jc w:val="center"/>
        </w:trPr>
        <w:tc>
          <w:tcPr>
            <w:tcW w:w="726" w:type="dxa"/>
            <w:vAlign w:val="center"/>
          </w:tcPr>
          <w:p w14:paraId="3778545D" w14:textId="77777777" w:rsidR="003755F4" w:rsidRDefault="007A7713">
            <w:pPr>
              <w:widowControl/>
              <w:spacing w:line="360" w:lineRule="auto"/>
              <w:jc w:val="center"/>
              <w:rPr>
                <w:rFonts w:ascii="宋体" w:eastAsia="宋体" w:hAnsi="宋体" w:cs="宋体" w:hint="eastAsia"/>
                <w:bCs/>
                <w:szCs w:val="21"/>
              </w:rPr>
            </w:pPr>
            <w:r>
              <w:rPr>
                <w:rFonts w:ascii="宋体" w:eastAsia="宋体" w:hAnsi="宋体" w:cs="宋体" w:hint="eastAsia"/>
                <w:bCs/>
                <w:szCs w:val="21"/>
              </w:rPr>
              <w:t>1</w:t>
            </w:r>
          </w:p>
        </w:tc>
        <w:tc>
          <w:tcPr>
            <w:tcW w:w="1542" w:type="dxa"/>
            <w:gridSpan w:val="2"/>
            <w:vAlign w:val="center"/>
          </w:tcPr>
          <w:p w14:paraId="1E49410A" w14:textId="77777777" w:rsidR="003755F4" w:rsidRDefault="007A7713">
            <w:pPr>
              <w:widowControl/>
              <w:spacing w:line="360" w:lineRule="auto"/>
              <w:jc w:val="center"/>
              <w:rPr>
                <w:rFonts w:ascii="宋体" w:eastAsia="宋体" w:hAnsi="宋体" w:cs="宋体" w:hint="eastAsia"/>
                <w:bCs/>
                <w:szCs w:val="21"/>
              </w:rPr>
            </w:pPr>
            <w:r>
              <w:rPr>
                <w:rStyle w:val="ad"/>
                <w:rFonts w:ascii="宋体" w:eastAsia="宋体" w:hAnsi="宋体" w:cs="宋体" w:hint="eastAsia"/>
                <w:b w:val="0"/>
                <w:szCs w:val="21"/>
              </w:rPr>
              <w:t>维修零配件和延续保修</w:t>
            </w:r>
          </w:p>
        </w:tc>
        <w:tc>
          <w:tcPr>
            <w:tcW w:w="6585" w:type="dxa"/>
            <w:vAlign w:val="center"/>
          </w:tcPr>
          <w:p w14:paraId="7B50F186" w14:textId="472547CF" w:rsidR="003755F4" w:rsidRDefault="007A7713">
            <w:pPr>
              <w:widowControl/>
              <w:spacing w:line="360" w:lineRule="auto"/>
              <w:rPr>
                <w:rFonts w:ascii="宋体" w:eastAsia="宋体" w:hAnsi="宋体" w:cs="宋体" w:hint="eastAsia"/>
                <w:b/>
                <w:szCs w:val="21"/>
              </w:rPr>
            </w:pPr>
            <w:r>
              <w:rPr>
                <w:rFonts w:ascii="宋体" w:eastAsia="宋体" w:hAnsi="宋体" w:cs="宋体" w:hint="eastAsia"/>
                <w:szCs w:val="21"/>
              </w:rPr>
              <w:t>由设备制造商提供售后服务，</w:t>
            </w:r>
            <w:r>
              <w:rPr>
                <w:rFonts w:ascii="宋体" w:eastAsia="宋体" w:hAnsi="宋体" w:cs="宋体" w:hint="eastAsia"/>
                <w:szCs w:val="21"/>
                <w:u w:val="single"/>
              </w:rPr>
              <w:t>1</w:t>
            </w:r>
            <w:r w:rsidR="0008559A">
              <w:rPr>
                <w:rFonts w:ascii="宋体" w:eastAsia="宋体" w:hAnsi="宋体" w:cs="宋体"/>
                <w:szCs w:val="21"/>
                <w:u w:val="single"/>
              </w:rPr>
              <w:t>2</w:t>
            </w:r>
            <w:r>
              <w:rPr>
                <w:rFonts w:ascii="宋体" w:eastAsia="宋体" w:hAnsi="宋体" w:cs="宋体" w:hint="eastAsia"/>
                <w:szCs w:val="21"/>
              </w:rPr>
              <w:t>内响应，</w:t>
            </w:r>
            <w:r>
              <w:rPr>
                <w:rFonts w:ascii="宋体" w:eastAsia="宋体" w:hAnsi="宋体" w:cs="宋体" w:hint="eastAsia"/>
                <w:szCs w:val="21"/>
                <w:u w:val="single"/>
              </w:rPr>
              <w:t>24</w:t>
            </w:r>
            <w:r>
              <w:rPr>
                <w:rFonts w:ascii="宋体" w:eastAsia="宋体" w:hAnsi="宋体" w:cs="宋体" w:hint="eastAsia"/>
                <w:szCs w:val="21"/>
              </w:rPr>
              <w:t>小时维修到位，并在</w:t>
            </w:r>
            <w:r w:rsidR="00F0084A">
              <w:rPr>
                <w:rFonts w:ascii="宋体" w:eastAsia="宋体" w:hAnsi="宋体" w:cs="宋体"/>
                <w:szCs w:val="21"/>
                <w:u w:val="single"/>
              </w:rPr>
              <w:t>72</w:t>
            </w:r>
            <w:r>
              <w:rPr>
                <w:rFonts w:ascii="宋体" w:eastAsia="宋体" w:hAnsi="宋体" w:cs="宋体" w:hint="eastAsia"/>
                <w:szCs w:val="21"/>
              </w:rPr>
              <w:t>内消除故障（不可抗力情况除外）。设备零配件供应及时，特殊情况下可提供备用机。</w:t>
            </w:r>
          </w:p>
        </w:tc>
      </w:tr>
      <w:tr w:rsidR="003755F4" w14:paraId="0D859AB6" w14:textId="77777777">
        <w:trPr>
          <w:trHeight w:val="800"/>
          <w:jc w:val="center"/>
        </w:trPr>
        <w:tc>
          <w:tcPr>
            <w:tcW w:w="726" w:type="dxa"/>
            <w:vAlign w:val="center"/>
          </w:tcPr>
          <w:p w14:paraId="48724B33" w14:textId="77777777" w:rsidR="003755F4" w:rsidRDefault="007A7713">
            <w:pPr>
              <w:widowControl/>
              <w:spacing w:line="360" w:lineRule="auto"/>
              <w:jc w:val="center"/>
              <w:rPr>
                <w:rFonts w:ascii="宋体" w:eastAsia="宋体" w:hAnsi="宋体" w:cs="宋体" w:hint="eastAsia"/>
                <w:bCs/>
                <w:szCs w:val="21"/>
              </w:rPr>
            </w:pPr>
            <w:r>
              <w:rPr>
                <w:rFonts w:ascii="宋体" w:eastAsia="宋体" w:hAnsi="宋体" w:cs="宋体" w:hint="eastAsia"/>
                <w:bCs/>
                <w:szCs w:val="21"/>
              </w:rPr>
              <w:t>2</w:t>
            </w:r>
          </w:p>
        </w:tc>
        <w:tc>
          <w:tcPr>
            <w:tcW w:w="1542" w:type="dxa"/>
            <w:gridSpan w:val="2"/>
            <w:vAlign w:val="center"/>
          </w:tcPr>
          <w:p w14:paraId="63BBB9EB" w14:textId="77777777" w:rsidR="003755F4" w:rsidRDefault="007A7713">
            <w:pPr>
              <w:widowControl/>
              <w:spacing w:line="360" w:lineRule="auto"/>
              <w:jc w:val="center"/>
              <w:rPr>
                <w:rFonts w:ascii="宋体" w:eastAsia="宋体" w:hAnsi="宋体" w:cs="宋体" w:hint="eastAsia"/>
                <w:szCs w:val="21"/>
              </w:rPr>
            </w:pPr>
            <w:r>
              <w:rPr>
                <w:rFonts w:ascii="宋体" w:eastAsia="宋体" w:hAnsi="宋体" w:cs="宋体" w:hint="eastAsia"/>
                <w:szCs w:val="21"/>
              </w:rPr>
              <w:t>维保期外的维修</w:t>
            </w:r>
          </w:p>
        </w:tc>
        <w:tc>
          <w:tcPr>
            <w:tcW w:w="6585" w:type="dxa"/>
            <w:vAlign w:val="center"/>
          </w:tcPr>
          <w:p w14:paraId="33D856C5"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保修期满后，成交人必须继续支持维修。</w:t>
            </w:r>
          </w:p>
        </w:tc>
      </w:tr>
      <w:tr w:rsidR="003755F4" w14:paraId="775EE6A7" w14:textId="77777777">
        <w:trPr>
          <w:trHeight w:val="454"/>
          <w:jc w:val="center"/>
        </w:trPr>
        <w:tc>
          <w:tcPr>
            <w:tcW w:w="8853" w:type="dxa"/>
            <w:gridSpan w:val="4"/>
            <w:vAlign w:val="center"/>
          </w:tcPr>
          <w:p w14:paraId="417D1A18" w14:textId="77777777" w:rsidR="003755F4" w:rsidRDefault="007A7713">
            <w:pPr>
              <w:widowControl/>
              <w:spacing w:line="360" w:lineRule="auto"/>
              <w:rPr>
                <w:rFonts w:ascii="宋体" w:eastAsia="宋体" w:hAnsi="宋体" w:cs="宋体" w:hint="eastAsia"/>
                <w:b/>
                <w:szCs w:val="21"/>
              </w:rPr>
            </w:pPr>
            <w:r>
              <w:rPr>
                <w:rFonts w:ascii="宋体" w:eastAsia="宋体" w:hAnsi="宋体" w:cs="宋体" w:hint="eastAsia"/>
                <w:b/>
                <w:szCs w:val="21"/>
              </w:rPr>
              <w:t>（三）其他商务要求</w:t>
            </w:r>
          </w:p>
        </w:tc>
      </w:tr>
      <w:tr w:rsidR="003755F4" w14:paraId="1A46D2B6" w14:textId="77777777">
        <w:trPr>
          <w:trHeight w:val="454"/>
          <w:jc w:val="center"/>
        </w:trPr>
        <w:tc>
          <w:tcPr>
            <w:tcW w:w="726" w:type="dxa"/>
            <w:vMerge w:val="restart"/>
            <w:vAlign w:val="center"/>
          </w:tcPr>
          <w:p w14:paraId="0EC39001" w14:textId="77777777" w:rsidR="003755F4" w:rsidRDefault="007A7713">
            <w:pPr>
              <w:widowControl/>
              <w:spacing w:line="360" w:lineRule="auto"/>
              <w:jc w:val="center"/>
              <w:rPr>
                <w:rFonts w:ascii="宋体" w:eastAsia="宋体" w:hAnsi="宋体" w:cs="宋体" w:hint="eastAsia"/>
                <w:bCs/>
                <w:szCs w:val="21"/>
              </w:rPr>
            </w:pPr>
            <w:bookmarkStart w:id="0" w:name="_Hlk72260973"/>
            <w:r>
              <w:rPr>
                <w:rFonts w:ascii="宋体" w:eastAsia="宋体" w:hAnsi="宋体" w:cs="宋体" w:hint="eastAsia"/>
                <w:bCs/>
                <w:szCs w:val="21"/>
              </w:rPr>
              <w:t>1</w:t>
            </w:r>
          </w:p>
        </w:tc>
        <w:tc>
          <w:tcPr>
            <w:tcW w:w="1542" w:type="dxa"/>
            <w:gridSpan w:val="2"/>
            <w:vMerge w:val="restart"/>
            <w:vAlign w:val="center"/>
          </w:tcPr>
          <w:p w14:paraId="7F78293C" w14:textId="77777777" w:rsidR="003755F4" w:rsidRDefault="007A7713">
            <w:pPr>
              <w:widowControl/>
              <w:spacing w:line="360" w:lineRule="auto"/>
              <w:jc w:val="center"/>
              <w:rPr>
                <w:rFonts w:ascii="宋体" w:eastAsia="宋体" w:hAnsi="宋体" w:cs="宋体" w:hint="eastAsia"/>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trPr>
          <w:trHeight w:val="454"/>
          <w:jc w:val="center"/>
        </w:trPr>
        <w:tc>
          <w:tcPr>
            <w:tcW w:w="726" w:type="dxa"/>
            <w:vMerge/>
            <w:vAlign w:val="center"/>
          </w:tcPr>
          <w:p w14:paraId="2A0E42EC"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002A110F" w14:textId="77777777" w:rsidR="003755F4" w:rsidRDefault="003755F4">
            <w:pPr>
              <w:widowControl/>
              <w:spacing w:line="360" w:lineRule="auto"/>
              <w:jc w:val="center"/>
              <w:rPr>
                <w:rFonts w:ascii="宋体" w:eastAsia="宋体" w:hAnsi="宋体" w:cs="宋体" w:hint="eastAsia"/>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trPr>
          <w:trHeight w:val="454"/>
          <w:jc w:val="center"/>
        </w:trPr>
        <w:tc>
          <w:tcPr>
            <w:tcW w:w="726" w:type="dxa"/>
            <w:vMerge/>
            <w:vAlign w:val="center"/>
          </w:tcPr>
          <w:p w14:paraId="768421DB"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4613B5BC" w14:textId="77777777" w:rsidR="003755F4" w:rsidRDefault="003755F4">
            <w:pPr>
              <w:widowControl/>
              <w:spacing w:line="360" w:lineRule="auto"/>
              <w:jc w:val="center"/>
              <w:rPr>
                <w:rFonts w:ascii="宋体" w:eastAsia="宋体" w:hAnsi="宋体" w:cs="宋体" w:hint="eastAsia"/>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hint="eastAsia"/>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hint="eastAsia"/>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hint="eastAsia"/>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trPr>
          <w:trHeight w:val="454"/>
          <w:jc w:val="center"/>
        </w:trPr>
        <w:tc>
          <w:tcPr>
            <w:tcW w:w="726" w:type="dxa"/>
            <w:vMerge/>
            <w:vAlign w:val="center"/>
          </w:tcPr>
          <w:p w14:paraId="379B3183"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57C730E6" w14:textId="77777777" w:rsidR="003755F4" w:rsidRDefault="003755F4">
            <w:pPr>
              <w:widowControl/>
              <w:spacing w:line="360" w:lineRule="auto"/>
              <w:jc w:val="center"/>
              <w:rPr>
                <w:rFonts w:ascii="宋体" w:eastAsia="宋体" w:hAnsi="宋体" w:cs="宋体" w:hint="eastAsia"/>
                <w:szCs w:val="21"/>
              </w:rPr>
            </w:pPr>
          </w:p>
        </w:tc>
        <w:tc>
          <w:tcPr>
            <w:tcW w:w="6585" w:type="dxa"/>
          </w:tcPr>
          <w:p w14:paraId="0FABDE3F"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trPr>
          <w:trHeight w:val="682"/>
          <w:jc w:val="center"/>
        </w:trPr>
        <w:tc>
          <w:tcPr>
            <w:tcW w:w="726" w:type="dxa"/>
            <w:vMerge w:val="restart"/>
            <w:vAlign w:val="center"/>
          </w:tcPr>
          <w:p w14:paraId="0CB73615"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2</w:t>
            </w:r>
          </w:p>
        </w:tc>
        <w:tc>
          <w:tcPr>
            <w:tcW w:w="1542" w:type="dxa"/>
            <w:gridSpan w:val="2"/>
            <w:vMerge w:val="restart"/>
            <w:vAlign w:val="center"/>
          </w:tcPr>
          <w:p w14:paraId="6BA288A3" w14:textId="77777777" w:rsidR="003755F4" w:rsidRDefault="007A7713">
            <w:pPr>
              <w:widowControl/>
              <w:spacing w:line="360" w:lineRule="auto"/>
              <w:jc w:val="center"/>
              <w:rPr>
                <w:rFonts w:ascii="宋体" w:eastAsia="宋体" w:hAnsi="宋体" w:cs="宋体" w:hint="eastAsia"/>
                <w:szCs w:val="21"/>
              </w:rPr>
            </w:pPr>
            <w:r>
              <w:rPr>
                <w:rStyle w:val="ad"/>
                <w:rFonts w:ascii="宋体" w:eastAsia="宋体" w:hAnsi="宋体" w:cs="宋体" w:hint="eastAsia"/>
                <w:szCs w:val="21"/>
              </w:rPr>
              <w:t>运输及安装、调试</w:t>
            </w:r>
          </w:p>
        </w:tc>
        <w:tc>
          <w:tcPr>
            <w:tcW w:w="6585" w:type="dxa"/>
            <w:vAlign w:val="center"/>
          </w:tcPr>
          <w:p w14:paraId="5560BA38" w14:textId="77777777" w:rsidR="003755F4" w:rsidRDefault="007A7713">
            <w:pPr>
              <w:widowControl/>
              <w:spacing w:line="360" w:lineRule="auto"/>
              <w:rPr>
                <w:rFonts w:ascii="宋体" w:eastAsia="宋体" w:hAnsi="宋体" w:cs="宋体" w:hint="eastAsia"/>
                <w:bCs/>
                <w:szCs w:val="21"/>
              </w:rPr>
            </w:pPr>
            <w:r>
              <w:rPr>
                <w:rFonts w:ascii="宋体" w:eastAsia="宋体" w:hAnsi="宋体" w:cs="宋体" w:hint="eastAsia"/>
                <w:szCs w:val="21"/>
              </w:rPr>
              <w:t>2.1 供应商须在签订合同之日起 5天内向采购人提供设备的运行、安装、使用环境要求。</w:t>
            </w:r>
          </w:p>
        </w:tc>
      </w:tr>
      <w:tr w:rsidR="003755F4" w14:paraId="4D16627B" w14:textId="77777777">
        <w:trPr>
          <w:trHeight w:val="132"/>
          <w:jc w:val="center"/>
        </w:trPr>
        <w:tc>
          <w:tcPr>
            <w:tcW w:w="726" w:type="dxa"/>
            <w:vMerge/>
            <w:vAlign w:val="center"/>
          </w:tcPr>
          <w:p w14:paraId="320D5DCD"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7E278496" w14:textId="77777777" w:rsidR="003755F4" w:rsidRDefault="007A7713">
            <w:pPr>
              <w:spacing w:line="360" w:lineRule="auto"/>
              <w:rPr>
                <w:rFonts w:ascii="宋体" w:eastAsia="宋体" w:hAnsi="宋体" w:cs="宋体" w:hint="eastAsia"/>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trPr>
          <w:trHeight w:val="689"/>
          <w:jc w:val="center"/>
        </w:trPr>
        <w:tc>
          <w:tcPr>
            <w:tcW w:w="726" w:type="dxa"/>
            <w:vMerge/>
            <w:vAlign w:val="center"/>
          </w:tcPr>
          <w:p w14:paraId="21EFDC4A"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trPr>
          <w:trHeight w:val="689"/>
          <w:jc w:val="center"/>
        </w:trPr>
        <w:tc>
          <w:tcPr>
            <w:tcW w:w="726" w:type="dxa"/>
            <w:vMerge/>
            <w:vAlign w:val="center"/>
          </w:tcPr>
          <w:p w14:paraId="386AD9A6"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trPr>
          <w:trHeight w:val="689"/>
          <w:jc w:val="center"/>
        </w:trPr>
        <w:tc>
          <w:tcPr>
            <w:tcW w:w="726" w:type="dxa"/>
            <w:vMerge/>
            <w:vAlign w:val="center"/>
          </w:tcPr>
          <w:p w14:paraId="091E3043"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trPr>
          <w:trHeight w:val="689"/>
          <w:jc w:val="center"/>
        </w:trPr>
        <w:tc>
          <w:tcPr>
            <w:tcW w:w="726" w:type="dxa"/>
            <w:vMerge/>
            <w:vAlign w:val="center"/>
          </w:tcPr>
          <w:p w14:paraId="31334D51"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trPr>
          <w:trHeight w:val="689"/>
          <w:jc w:val="center"/>
        </w:trPr>
        <w:tc>
          <w:tcPr>
            <w:tcW w:w="726" w:type="dxa"/>
            <w:vMerge/>
            <w:vAlign w:val="center"/>
          </w:tcPr>
          <w:p w14:paraId="3856AAE4"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hint="eastAsia"/>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hint="eastAsia"/>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720211CE" w14:textId="77777777">
        <w:trPr>
          <w:trHeight w:val="454"/>
          <w:jc w:val="center"/>
        </w:trPr>
        <w:tc>
          <w:tcPr>
            <w:tcW w:w="726" w:type="dxa"/>
            <w:vMerge w:val="restart"/>
            <w:vAlign w:val="center"/>
          </w:tcPr>
          <w:p w14:paraId="5068F693"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lastRenderedPageBreak/>
              <w:t>3</w:t>
            </w:r>
          </w:p>
        </w:tc>
        <w:tc>
          <w:tcPr>
            <w:tcW w:w="1542" w:type="dxa"/>
            <w:gridSpan w:val="2"/>
            <w:vMerge w:val="restart"/>
            <w:vAlign w:val="center"/>
          </w:tcPr>
          <w:p w14:paraId="65C8453C"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培训</w:t>
            </w:r>
          </w:p>
        </w:tc>
        <w:tc>
          <w:tcPr>
            <w:tcW w:w="6585" w:type="dxa"/>
          </w:tcPr>
          <w:p w14:paraId="4F14F4D9" w14:textId="77777777" w:rsidR="003755F4" w:rsidRDefault="007A7713">
            <w:pPr>
              <w:widowControl/>
              <w:spacing w:line="360" w:lineRule="auto"/>
              <w:jc w:val="left"/>
              <w:rPr>
                <w:rFonts w:ascii="宋体" w:eastAsia="宋体" w:hAnsi="宋体" w:cs="宋体" w:hint="eastAsia"/>
                <w:szCs w:val="21"/>
              </w:rPr>
            </w:pPr>
            <w:r>
              <w:rPr>
                <w:rFonts w:ascii="宋体" w:eastAsia="宋体" w:hAnsi="宋体" w:cs="宋体" w:hint="eastAsia"/>
                <w:szCs w:val="21"/>
              </w:rPr>
              <w:t>3.1 投标供应商应派专业技术人员免费对采购单位指定人员进行定期培训及指导，直至其完全掌握设备的基本故障处理技术。</w:t>
            </w:r>
          </w:p>
        </w:tc>
      </w:tr>
      <w:tr w:rsidR="003755F4" w14:paraId="0975A1A9" w14:textId="77777777">
        <w:trPr>
          <w:trHeight w:val="454"/>
          <w:jc w:val="center"/>
        </w:trPr>
        <w:tc>
          <w:tcPr>
            <w:tcW w:w="726" w:type="dxa"/>
            <w:vMerge/>
            <w:vAlign w:val="center"/>
          </w:tcPr>
          <w:p w14:paraId="5471F808"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33452FD6" w14:textId="77777777" w:rsidR="003755F4" w:rsidRDefault="003755F4">
            <w:pPr>
              <w:widowControl/>
              <w:spacing w:line="360" w:lineRule="auto"/>
              <w:rPr>
                <w:rFonts w:ascii="宋体" w:eastAsia="宋体" w:hAnsi="宋体" w:cs="宋体" w:hint="eastAsia"/>
                <w:b/>
                <w:szCs w:val="21"/>
              </w:rPr>
            </w:pPr>
          </w:p>
        </w:tc>
        <w:tc>
          <w:tcPr>
            <w:tcW w:w="6585" w:type="dxa"/>
          </w:tcPr>
          <w:p w14:paraId="0048F1EC" w14:textId="77777777" w:rsidR="003755F4" w:rsidRDefault="007A7713">
            <w:pPr>
              <w:widowControl/>
              <w:spacing w:line="360" w:lineRule="auto"/>
              <w:jc w:val="left"/>
              <w:rPr>
                <w:rFonts w:ascii="宋体" w:eastAsia="宋体" w:hAnsi="宋体" w:cs="宋体" w:hint="eastAsia"/>
                <w:szCs w:val="21"/>
              </w:rPr>
            </w:pPr>
            <w:r>
              <w:rPr>
                <w:rFonts w:ascii="宋体" w:eastAsia="宋体" w:hAnsi="宋体" w:cs="宋体" w:hint="eastAsia"/>
                <w:szCs w:val="21"/>
              </w:rPr>
              <w:t>3.2 现场培训：供应商应提供现场技术培训，保证使用人员正常操作设备的各种功能。</w:t>
            </w:r>
          </w:p>
        </w:tc>
      </w:tr>
      <w:tr w:rsidR="003755F4" w14:paraId="75AF8F06" w14:textId="77777777">
        <w:trPr>
          <w:trHeight w:val="675"/>
          <w:jc w:val="center"/>
        </w:trPr>
        <w:tc>
          <w:tcPr>
            <w:tcW w:w="726" w:type="dxa"/>
            <w:vAlign w:val="center"/>
          </w:tcPr>
          <w:p w14:paraId="00C78958"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4</w:t>
            </w:r>
          </w:p>
        </w:tc>
        <w:tc>
          <w:tcPr>
            <w:tcW w:w="1542" w:type="dxa"/>
            <w:gridSpan w:val="2"/>
            <w:vAlign w:val="center"/>
          </w:tcPr>
          <w:p w14:paraId="01ECB8A0"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知识产权</w:t>
            </w:r>
          </w:p>
        </w:tc>
        <w:tc>
          <w:tcPr>
            <w:tcW w:w="6585" w:type="dxa"/>
          </w:tcPr>
          <w:p w14:paraId="7173772B" w14:textId="77777777" w:rsidR="003755F4" w:rsidRDefault="007A7713">
            <w:pPr>
              <w:widowControl/>
              <w:spacing w:line="360" w:lineRule="auto"/>
              <w:jc w:val="left"/>
              <w:rPr>
                <w:rFonts w:ascii="宋体" w:eastAsia="宋体" w:hAnsi="宋体" w:cs="宋体" w:hint="eastAsia"/>
                <w:szCs w:val="21"/>
              </w:rPr>
            </w:pPr>
            <w:r>
              <w:rPr>
                <w:rFonts w:ascii="宋体" w:eastAsia="宋体" w:hAnsi="宋体" w:cs="宋体" w:hint="eastAsia"/>
                <w:szCs w:val="21"/>
              </w:rPr>
              <w:t>4.1 供应商提供的产品不得侵害第三人的知识产权，否则，供应商应赔偿采购人因此遭受的一切损失</w:t>
            </w:r>
          </w:p>
        </w:tc>
      </w:tr>
      <w:tr w:rsidR="003755F4" w14:paraId="5111BD9A" w14:textId="77777777">
        <w:trPr>
          <w:trHeight w:val="271"/>
          <w:jc w:val="center"/>
        </w:trPr>
        <w:tc>
          <w:tcPr>
            <w:tcW w:w="726" w:type="dxa"/>
            <w:vMerge w:val="restart"/>
            <w:vAlign w:val="center"/>
          </w:tcPr>
          <w:p w14:paraId="6B0EDCD4"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5</w:t>
            </w:r>
          </w:p>
        </w:tc>
        <w:tc>
          <w:tcPr>
            <w:tcW w:w="1542" w:type="dxa"/>
            <w:gridSpan w:val="2"/>
            <w:vMerge w:val="restart"/>
            <w:vAlign w:val="center"/>
          </w:tcPr>
          <w:p w14:paraId="343A9067" w14:textId="77777777" w:rsidR="003755F4" w:rsidRDefault="007A7713">
            <w:pPr>
              <w:widowControl/>
              <w:spacing w:line="360" w:lineRule="auto"/>
              <w:jc w:val="center"/>
              <w:rPr>
                <w:rFonts w:ascii="宋体" w:eastAsia="宋体" w:hAnsi="宋体" w:cs="宋体" w:hint="eastAsia"/>
                <w:b/>
                <w:szCs w:val="21"/>
              </w:rPr>
            </w:pPr>
            <w:r>
              <w:rPr>
                <w:rFonts w:ascii="宋体" w:eastAsia="宋体" w:hAnsi="宋体" w:cs="宋体" w:hint="eastAsia"/>
                <w:b/>
                <w:szCs w:val="21"/>
              </w:rPr>
              <w:t>其他</w:t>
            </w:r>
          </w:p>
        </w:tc>
        <w:tc>
          <w:tcPr>
            <w:tcW w:w="6585" w:type="dxa"/>
            <w:vAlign w:val="center"/>
          </w:tcPr>
          <w:p w14:paraId="45C27BBC" w14:textId="55A277D0" w:rsidR="003755F4" w:rsidRDefault="007A7713">
            <w:pPr>
              <w:widowControl/>
              <w:spacing w:line="360" w:lineRule="auto"/>
              <w:jc w:val="left"/>
              <w:rPr>
                <w:rFonts w:ascii="宋体" w:eastAsia="宋体" w:hAnsi="宋体" w:cs="宋体" w:hint="eastAsia"/>
                <w:szCs w:val="21"/>
              </w:rPr>
            </w:pPr>
            <w:r>
              <w:rPr>
                <w:rFonts w:ascii="宋体" w:eastAsia="宋体" w:hAnsi="宋体" w:cs="宋体" w:hint="eastAsia"/>
                <w:szCs w:val="21"/>
              </w:rPr>
              <w:t>5.1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Pr>
                <w:rFonts w:ascii="宋体" w:eastAsia="宋体" w:hAnsi="宋体" w:cs="宋体" w:hint="eastAsia"/>
                <w:szCs w:val="21"/>
              </w:rPr>
              <w:t>，否则验收不通过。</w:t>
            </w:r>
          </w:p>
        </w:tc>
      </w:tr>
      <w:tr w:rsidR="003755F4" w14:paraId="23571A08" w14:textId="77777777">
        <w:trPr>
          <w:trHeight w:val="461"/>
          <w:jc w:val="center"/>
        </w:trPr>
        <w:tc>
          <w:tcPr>
            <w:tcW w:w="726" w:type="dxa"/>
            <w:vMerge/>
            <w:vAlign w:val="center"/>
          </w:tcPr>
          <w:p w14:paraId="79D348D9" w14:textId="77777777" w:rsidR="003755F4" w:rsidRDefault="003755F4">
            <w:pPr>
              <w:widowControl/>
              <w:spacing w:line="360" w:lineRule="auto"/>
              <w:jc w:val="center"/>
              <w:rPr>
                <w:rFonts w:ascii="宋体" w:eastAsia="宋体" w:hAnsi="宋体" w:cs="宋体" w:hint="eastAsia"/>
                <w:b/>
                <w:szCs w:val="21"/>
              </w:rPr>
            </w:pPr>
          </w:p>
        </w:tc>
        <w:tc>
          <w:tcPr>
            <w:tcW w:w="1542" w:type="dxa"/>
            <w:gridSpan w:val="2"/>
            <w:vMerge/>
            <w:vAlign w:val="center"/>
          </w:tcPr>
          <w:p w14:paraId="399EACE3" w14:textId="77777777" w:rsidR="003755F4" w:rsidRDefault="003755F4">
            <w:pPr>
              <w:widowControl/>
              <w:spacing w:line="360" w:lineRule="auto"/>
              <w:jc w:val="center"/>
              <w:rPr>
                <w:rFonts w:ascii="宋体" w:eastAsia="宋体" w:hAnsi="宋体" w:cs="宋体" w:hint="eastAsia"/>
                <w:b/>
                <w:szCs w:val="21"/>
              </w:rPr>
            </w:pPr>
          </w:p>
        </w:tc>
        <w:tc>
          <w:tcPr>
            <w:tcW w:w="6585" w:type="dxa"/>
            <w:vAlign w:val="center"/>
          </w:tcPr>
          <w:p w14:paraId="175B4447" w14:textId="77777777" w:rsidR="003755F4" w:rsidRDefault="007A7713">
            <w:pPr>
              <w:widowControl/>
              <w:spacing w:line="360" w:lineRule="auto"/>
              <w:rPr>
                <w:rFonts w:ascii="宋体" w:eastAsia="宋体" w:hAnsi="宋体" w:cs="宋体" w:hint="eastAsia"/>
                <w:szCs w:val="21"/>
              </w:rPr>
            </w:pPr>
            <w:r>
              <w:rPr>
                <w:rFonts w:ascii="宋体" w:eastAsia="宋体" w:hAnsi="宋体" w:cs="宋体" w:hint="eastAsia"/>
                <w:szCs w:val="21"/>
              </w:rPr>
              <w:t>5.2供应商应按其投标文件中的承诺，进行其他售后服务工作。</w:t>
            </w:r>
          </w:p>
        </w:tc>
      </w:tr>
    </w:tbl>
    <w:p w14:paraId="30A3A2C6" w14:textId="77777777" w:rsidR="003755F4" w:rsidRDefault="003755F4">
      <w:pPr>
        <w:spacing w:line="360" w:lineRule="auto"/>
        <w:jc w:val="left"/>
        <w:rPr>
          <w:rFonts w:ascii="宋体" w:hAnsi="宋体" w:hint="eastAsia"/>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BBDC" w14:textId="77777777" w:rsidR="00673FD9" w:rsidRDefault="00673FD9" w:rsidP="002847A0">
      <w:pPr>
        <w:rPr>
          <w:rFonts w:hint="eastAsia"/>
        </w:rPr>
      </w:pPr>
      <w:r>
        <w:separator/>
      </w:r>
    </w:p>
  </w:endnote>
  <w:endnote w:type="continuationSeparator" w:id="0">
    <w:p w14:paraId="32D108B4" w14:textId="77777777" w:rsidR="00673FD9" w:rsidRDefault="00673FD9" w:rsidP="002847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A7E8" w14:textId="77777777" w:rsidR="00673FD9" w:rsidRDefault="00673FD9" w:rsidP="002847A0">
      <w:pPr>
        <w:rPr>
          <w:rFonts w:hint="eastAsia"/>
        </w:rPr>
      </w:pPr>
      <w:r>
        <w:separator/>
      </w:r>
    </w:p>
  </w:footnote>
  <w:footnote w:type="continuationSeparator" w:id="0">
    <w:p w14:paraId="3414E82A" w14:textId="77777777" w:rsidR="00673FD9" w:rsidRDefault="00673FD9" w:rsidP="002847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773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67987"/>
    <w:rsid w:val="0008559A"/>
    <w:rsid w:val="00090197"/>
    <w:rsid w:val="000947C9"/>
    <w:rsid w:val="000A0D3E"/>
    <w:rsid w:val="000A1742"/>
    <w:rsid w:val="000A50A8"/>
    <w:rsid w:val="000C5E0C"/>
    <w:rsid w:val="000C5E4D"/>
    <w:rsid w:val="000D7046"/>
    <w:rsid w:val="000E2963"/>
    <w:rsid w:val="000E75D5"/>
    <w:rsid w:val="0016055B"/>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73FD9"/>
    <w:rsid w:val="006B163F"/>
    <w:rsid w:val="006B43E7"/>
    <w:rsid w:val="006C7E25"/>
    <w:rsid w:val="007006E2"/>
    <w:rsid w:val="00711775"/>
    <w:rsid w:val="00723EB0"/>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C0872"/>
    <w:rsid w:val="009D6CBD"/>
    <w:rsid w:val="00A20AA6"/>
    <w:rsid w:val="00A309DE"/>
    <w:rsid w:val="00A521A6"/>
    <w:rsid w:val="00A76012"/>
    <w:rsid w:val="00AB35E6"/>
    <w:rsid w:val="00AD6047"/>
    <w:rsid w:val="00AF7205"/>
    <w:rsid w:val="00AF7D63"/>
    <w:rsid w:val="00B130C0"/>
    <w:rsid w:val="00BC203C"/>
    <w:rsid w:val="00BC4B38"/>
    <w:rsid w:val="00BF3432"/>
    <w:rsid w:val="00C2090A"/>
    <w:rsid w:val="00C2775C"/>
    <w:rsid w:val="00C35167"/>
    <w:rsid w:val="00C36FF3"/>
    <w:rsid w:val="00CA196E"/>
    <w:rsid w:val="00CA5EE2"/>
    <w:rsid w:val="00CB1BAB"/>
    <w:rsid w:val="00CB7CCF"/>
    <w:rsid w:val="00D10E62"/>
    <w:rsid w:val="00D143E6"/>
    <w:rsid w:val="00D51DB9"/>
    <w:rsid w:val="00D87A85"/>
    <w:rsid w:val="00DA19D4"/>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1065</Words>
  <Characters>1140</Characters>
  <Application>Microsoft Office Word</Application>
  <DocSecurity>0</DocSecurity>
  <Lines>103</Lines>
  <Paragraphs>95</Paragraphs>
  <ScaleCrop>false</ScaleCrop>
  <Company>HP Inc.</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Focheng Liu</cp:lastModifiedBy>
  <cp:revision>3</cp:revision>
  <dcterms:created xsi:type="dcterms:W3CDTF">2025-11-19T01:09:00Z</dcterms:created>
  <dcterms:modified xsi:type="dcterms:W3CDTF">2025-11-19T02:33:00Z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