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5FB1" w14:textId="5E725C00" w:rsidR="00DC1743" w:rsidRDefault="00B14E2A" w:rsidP="003E3352">
      <w:pPr>
        <w:jc w:val="center"/>
        <w:rPr>
          <w:b/>
          <w:sz w:val="32"/>
          <w:szCs w:val="32"/>
        </w:rPr>
      </w:pPr>
      <w:r>
        <w:rPr>
          <w:rFonts w:hint="eastAsia"/>
          <w:b/>
          <w:sz w:val="32"/>
          <w:szCs w:val="32"/>
        </w:rPr>
        <w:t>移动</w:t>
      </w:r>
      <w:r w:rsidR="003E3352">
        <w:rPr>
          <w:rFonts w:hint="eastAsia"/>
          <w:b/>
          <w:sz w:val="32"/>
          <w:szCs w:val="32"/>
        </w:rPr>
        <w:t>工作站采购</w:t>
      </w:r>
    </w:p>
    <w:p w14:paraId="1367EF08" w14:textId="075E5AB4" w:rsidR="003755F4" w:rsidRDefault="007A7713" w:rsidP="003E3352">
      <w:pPr>
        <w:jc w:val="center"/>
        <w:rPr>
          <w:b/>
          <w:sz w:val="32"/>
          <w:szCs w:val="32"/>
        </w:rPr>
      </w:pPr>
      <w:r>
        <w:rPr>
          <w:rFonts w:hint="eastAsia"/>
          <w:b/>
          <w:sz w:val="32"/>
          <w:szCs w:val="32"/>
        </w:rPr>
        <w:t>需求文件</w:t>
      </w:r>
    </w:p>
    <w:p w14:paraId="4B733095" w14:textId="77777777" w:rsidR="00A76012" w:rsidRDefault="00A76012" w:rsidP="003E3352">
      <w:pPr>
        <w:jc w:val="center"/>
        <w:rPr>
          <w:b/>
          <w:sz w:val="32"/>
          <w:szCs w:val="32"/>
        </w:rPr>
      </w:pPr>
    </w:p>
    <w:p w14:paraId="3B791D76" w14:textId="7670E238"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4E2A">
        <w:rPr>
          <w:rFonts w:ascii="仿宋" w:eastAsia="仿宋" w:hAnsi="仿宋"/>
          <w:sz w:val="28"/>
          <w:szCs w:val="28"/>
        </w:rPr>
        <w:t>1</w:t>
      </w:r>
      <w:r>
        <w:rPr>
          <w:rFonts w:ascii="仿宋" w:eastAsia="仿宋" w:hAnsi="仿宋" w:hint="eastAsia"/>
          <w:sz w:val="28"/>
          <w:szCs w:val="28"/>
        </w:rPr>
        <w:t>台</w:t>
      </w:r>
      <w:r w:rsidR="00B14E2A">
        <w:rPr>
          <w:rFonts w:ascii="仿宋" w:eastAsia="仿宋" w:hAnsi="仿宋" w:hint="eastAsia"/>
          <w:sz w:val="28"/>
          <w:szCs w:val="28"/>
        </w:rPr>
        <w:t>移动</w:t>
      </w:r>
      <w:r>
        <w:rPr>
          <w:rFonts w:ascii="仿宋" w:eastAsia="仿宋" w:hAnsi="仿宋" w:hint="eastAsia"/>
          <w:sz w:val="28"/>
          <w:szCs w:val="28"/>
        </w:rPr>
        <w:t>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B14E2A">
        <w:rPr>
          <w:rFonts w:ascii="仿宋" w:eastAsia="仿宋" w:hAnsi="仿宋"/>
          <w:sz w:val="28"/>
          <w:szCs w:val="28"/>
        </w:rPr>
        <w:t>9000</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3E3352" w14:paraId="3AB73DDE" w14:textId="77777777" w:rsidTr="006E1DF6">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6E1DF6">
        <w:trPr>
          <w:trHeight w:val="1717"/>
        </w:trPr>
        <w:tc>
          <w:tcPr>
            <w:tcW w:w="710"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39C6265D" w14:textId="6880A188" w:rsidR="003E3352" w:rsidRDefault="00B14E2A" w:rsidP="006E1DF6">
            <w:pPr>
              <w:jc w:val="center"/>
              <w:rPr>
                <w:rFonts w:ascii="Times New Roman" w:eastAsia="宋体" w:hAnsi="Times New Roman" w:cs="Times New Roman"/>
                <w:sz w:val="20"/>
                <w:szCs w:val="24"/>
              </w:rPr>
            </w:pPr>
            <w:r>
              <w:rPr>
                <w:rFonts w:hint="eastAsia"/>
                <w:b/>
              </w:rPr>
              <w:t>联想拯救者</w:t>
            </w:r>
            <w:r>
              <w:rPr>
                <w:b/>
              </w:rPr>
              <w:t xml:space="preserve">Y7000 </w:t>
            </w:r>
            <w:r>
              <w:rPr>
                <w:b/>
              </w:rPr>
              <w:tab/>
            </w:r>
            <w:r>
              <w:rPr>
                <w:rFonts w:hint="eastAsia"/>
                <w:b/>
              </w:rPr>
              <w:t>移动工作站</w:t>
            </w:r>
          </w:p>
        </w:tc>
        <w:tc>
          <w:tcPr>
            <w:tcW w:w="4111" w:type="dxa"/>
            <w:vAlign w:val="center"/>
          </w:tcPr>
          <w:p w14:paraId="283C10A7" w14:textId="77777777" w:rsidR="00B14E2A" w:rsidRDefault="00B14E2A" w:rsidP="00B14E2A">
            <w:pPr>
              <w:pStyle w:val="3"/>
              <w:spacing w:before="165" w:after="90" w:line="450" w:lineRule="atLeast"/>
              <w:rPr>
                <w:rFonts w:ascii="Arial" w:eastAsia="宋体" w:hAnsi="Arial" w:cs="Arial"/>
                <w:kern w:val="0"/>
                <w:sz w:val="27"/>
                <w:szCs w:val="27"/>
              </w:rPr>
            </w:pPr>
            <w:r>
              <w:rPr>
                <w:rFonts w:ascii="Arial" w:hAnsi="Arial" w:cs="Arial"/>
              </w:rPr>
              <w:t>核心硬件</w:t>
            </w:r>
          </w:p>
          <w:p w14:paraId="2357AC03" w14:textId="05ABCE12" w:rsidR="00B14E2A" w:rsidRDefault="00B14E2A" w:rsidP="00B14E2A">
            <w:pPr>
              <w:widowControl/>
              <w:numPr>
                <w:ilvl w:val="0"/>
                <w:numId w:val="2"/>
              </w:numPr>
              <w:spacing w:line="420" w:lineRule="atLeast"/>
              <w:ind w:left="0"/>
              <w:jc w:val="left"/>
              <w:rPr>
                <w:rFonts w:ascii="宋体" w:hAnsi="宋体" w:cs="宋体"/>
              </w:rPr>
            </w:pPr>
            <w:r>
              <w:rPr>
                <w:rFonts w:ascii="MS Gothic" w:eastAsia="MS Gothic" w:hAnsi="MS Gothic" w:cs="MS Gothic" w:hint="eastAsia"/>
              </w:rPr>
              <w:t>‌</w:t>
            </w:r>
            <w:r>
              <w:rPr>
                <w:rStyle w:val="ad"/>
                <w:rFonts w:ascii="Arial" w:hAnsi="Arial" w:cs="Arial"/>
              </w:rPr>
              <w:t>处理器</w:t>
            </w:r>
            <w:r>
              <w:rPr>
                <w:rFonts w:ascii="MS Gothic" w:eastAsia="MS Gothic" w:hAnsi="MS Gothic" w:cs="MS Gothic" w:hint="eastAsia"/>
              </w:rPr>
              <w:t>‌</w:t>
            </w:r>
            <w:r>
              <w:t>：</w:t>
            </w:r>
            <w:r w:rsidR="00EC5E4E">
              <w:t xml:space="preserve"> </w:t>
            </w:r>
            <w:r>
              <w:t>16核24线程，主频2.2GHz，最高</w:t>
            </w:r>
            <w:proofErr w:type="gramStart"/>
            <w:r>
              <w:t>睿</w:t>
            </w:r>
            <w:proofErr w:type="gramEnd"/>
            <w:r>
              <w:t>频5.2GHz，30MB三级缓存，7nm工艺，功耗110W）</w:t>
            </w:r>
            <w:r>
              <w:rPr>
                <w:rFonts w:ascii="MS Gothic" w:eastAsia="MS Gothic" w:hAnsi="MS Gothic" w:cs="MS Gothic" w:hint="eastAsia"/>
              </w:rPr>
              <w:t>‌</w:t>
            </w:r>
          </w:p>
          <w:p w14:paraId="756EC4A8" w14:textId="452571F2" w:rsidR="00B14E2A" w:rsidRDefault="00B14E2A" w:rsidP="00B14E2A">
            <w:pPr>
              <w:widowControl/>
              <w:numPr>
                <w:ilvl w:val="0"/>
                <w:numId w:val="2"/>
              </w:numPr>
              <w:spacing w:line="420" w:lineRule="atLeast"/>
              <w:ind w:left="0"/>
              <w:jc w:val="left"/>
            </w:pPr>
            <w:r>
              <w:rPr>
                <w:rFonts w:ascii="MS Gothic" w:eastAsia="MS Gothic" w:hAnsi="MS Gothic" w:cs="MS Gothic" w:hint="eastAsia"/>
              </w:rPr>
              <w:t>‌</w:t>
            </w:r>
            <w:r>
              <w:rPr>
                <w:rStyle w:val="ad"/>
                <w:rFonts w:ascii="Arial" w:hAnsi="Arial" w:cs="Arial"/>
              </w:rPr>
              <w:t>显卡</w:t>
            </w:r>
            <w:r>
              <w:rPr>
                <w:rFonts w:ascii="MS Gothic" w:eastAsia="MS Gothic" w:hAnsi="MS Gothic" w:cs="MS Gothic" w:hint="eastAsia"/>
              </w:rPr>
              <w:t>‌</w:t>
            </w:r>
            <w:r>
              <w:t>：</w:t>
            </w:r>
            <w:r w:rsidR="00EC5E4E">
              <w:t xml:space="preserve"> </w:t>
            </w:r>
            <w:r>
              <w:t>8GB显存，支持</w:t>
            </w:r>
            <w:proofErr w:type="gramStart"/>
            <w:r>
              <w:t>独显直连</w:t>
            </w:r>
            <w:proofErr w:type="gramEnd"/>
            <w:r>
              <w:t>）</w:t>
            </w:r>
          </w:p>
          <w:p w14:paraId="357B4B81" w14:textId="43CA385F" w:rsidR="00B14E2A" w:rsidRDefault="00B14E2A" w:rsidP="00B14E2A">
            <w:pPr>
              <w:widowControl/>
              <w:numPr>
                <w:ilvl w:val="0"/>
                <w:numId w:val="2"/>
              </w:numPr>
              <w:spacing w:line="420" w:lineRule="atLeast"/>
              <w:ind w:left="0"/>
              <w:jc w:val="left"/>
            </w:pPr>
            <w:r>
              <w:rPr>
                <w:rFonts w:ascii="MS Gothic" w:eastAsia="MS Gothic" w:hAnsi="MS Gothic" w:cs="MS Gothic" w:hint="eastAsia"/>
              </w:rPr>
              <w:t>‌</w:t>
            </w:r>
            <w:r>
              <w:rPr>
                <w:rStyle w:val="ad"/>
                <w:rFonts w:ascii="Arial" w:hAnsi="Arial" w:cs="Arial"/>
              </w:rPr>
              <w:t>内存</w:t>
            </w:r>
            <w:r>
              <w:rPr>
                <w:rFonts w:ascii="MS Gothic" w:eastAsia="MS Gothic" w:hAnsi="MS Gothic" w:cs="MS Gothic" w:hint="eastAsia"/>
              </w:rPr>
              <w:t>‌</w:t>
            </w:r>
            <w:r>
              <w:t>：</w:t>
            </w:r>
            <w:r w:rsidR="00EC5E4E">
              <w:t xml:space="preserve"> </w:t>
            </w:r>
            <w:r>
              <w:t>16GB DDR5 5600MHz（双插槽，最大支持扩展至96GB）</w:t>
            </w:r>
            <w:r>
              <w:rPr>
                <w:rFonts w:ascii="MS Gothic" w:eastAsia="MS Gothic" w:hAnsi="MS Gothic" w:cs="MS Gothic" w:hint="eastAsia"/>
              </w:rPr>
              <w:t>‌</w:t>
            </w:r>
          </w:p>
          <w:p w14:paraId="560C720C" w14:textId="2B0D466E" w:rsidR="00B14E2A" w:rsidRDefault="00B14E2A" w:rsidP="00B14E2A">
            <w:pPr>
              <w:widowControl/>
              <w:numPr>
                <w:ilvl w:val="0"/>
                <w:numId w:val="2"/>
              </w:numPr>
              <w:spacing w:line="420" w:lineRule="atLeast"/>
              <w:ind w:left="0"/>
              <w:jc w:val="left"/>
            </w:pPr>
            <w:r>
              <w:rPr>
                <w:rFonts w:ascii="MS Gothic" w:eastAsia="MS Gothic" w:hAnsi="MS Gothic" w:cs="MS Gothic" w:hint="eastAsia"/>
              </w:rPr>
              <w:t>‌</w:t>
            </w:r>
            <w:r>
              <w:rPr>
                <w:rStyle w:val="ad"/>
                <w:rFonts w:ascii="Arial" w:hAnsi="Arial" w:cs="Arial"/>
              </w:rPr>
              <w:t>存储</w:t>
            </w:r>
            <w:r>
              <w:rPr>
                <w:rFonts w:ascii="MS Gothic" w:eastAsia="MS Gothic" w:hAnsi="MS Gothic" w:cs="MS Gothic" w:hint="eastAsia"/>
              </w:rPr>
              <w:t>‌</w:t>
            </w:r>
            <w:r>
              <w:t>：</w:t>
            </w:r>
            <w:r w:rsidR="00EC5E4E">
              <w:t xml:space="preserve"> </w:t>
            </w:r>
            <w:r>
              <w:t>512GB PCIe4.0 SSD（支持硬盘扩展）</w:t>
            </w:r>
            <w:r>
              <w:rPr>
                <w:rFonts w:ascii="MS Gothic" w:eastAsia="MS Gothic" w:hAnsi="MS Gothic" w:cs="MS Gothic" w:hint="eastAsia"/>
              </w:rPr>
              <w:t>‌</w:t>
            </w:r>
          </w:p>
          <w:p w14:paraId="36801C90" w14:textId="77777777" w:rsidR="00B14E2A" w:rsidRDefault="00B14E2A" w:rsidP="00B14E2A">
            <w:pPr>
              <w:pStyle w:val="3"/>
              <w:spacing w:before="195" w:after="90" w:line="450" w:lineRule="atLeast"/>
              <w:rPr>
                <w:rFonts w:ascii="Arial" w:hAnsi="Arial" w:cs="Arial"/>
              </w:rPr>
            </w:pPr>
            <w:r>
              <w:rPr>
                <w:rFonts w:ascii="Arial" w:hAnsi="Arial" w:cs="Arial"/>
              </w:rPr>
              <w:t>屏幕与显示</w:t>
            </w:r>
          </w:p>
          <w:p w14:paraId="6BD490DC" w14:textId="464F9764" w:rsidR="00B14E2A" w:rsidRDefault="00B14E2A" w:rsidP="00B14E2A">
            <w:pPr>
              <w:widowControl/>
              <w:numPr>
                <w:ilvl w:val="0"/>
                <w:numId w:val="3"/>
              </w:numPr>
              <w:spacing w:line="420" w:lineRule="atLeast"/>
              <w:ind w:left="0"/>
              <w:jc w:val="left"/>
              <w:rPr>
                <w:rFonts w:ascii="宋体" w:hAnsi="宋体" w:cs="宋体"/>
              </w:rPr>
            </w:pPr>
            <w:r>
              <w:rPr>
                <w:rFonts w:ascii="MS Gothic" w:eastAsia="MS Gothic" w:hAnsi="MS Gothic" w:cs="MS Gothic" w:hint="eastAsia"/>
              </w:rPr>
              <w:t>‌</w:t>
            </w:r>
            <w:r>
              <w:rPr>
                <w:rStyle w:val="ad"/>
                <w:rFonts w:ascii="Arial" w:hAnsi="Arial" w:cs="Arial"/>
              </w:rPr>
              <w:t>尺寸</w:t>
            </w:r>
            <w:r>
              <w:rPr>
                <w:rFonts w:ascii="MS Gothic" w:eastAsia="MS Gothic" w:hAnsi="MS Gothic" w:cs="MS Gothic" w:hint="eastAsia"/>
              </w:rPr>
              <w:t>‌</w:t>
            </w:r>
            <w:r>
              <w:t>：</w:t>
            </w:r>
            <w:r w:rsidR="00EC5E4E">
              <w:t xml:space="preserve"> </w:t>
            </w:r>
            <w:r>
              <w:t>15.6英寸</w:t>
            </w:r>
          </w:p>
          <w:p w14:paraId="54C62BE0" w14:textId="3753C526" w:rsidR="00B14E2A" w:rsidRDefault="00B14E2A" w:rsidP="00B14E2A">
            <w:pPr>
              <w:widowControl/>
              <w:numPr>
                <w:ilvl w:val="0"/>
                <w:numId w:val="3"/>
              </w:numPr>
              <w:spacing w:line="420" w:lineRule="atLeast"/>
              <w:ind w:left="0"/>
              <w:jc w:val="left"/>
            </w:pPr>
            <w:r>
              <w:rPr>
                <w:rFonts w:ascii="MS Gothic" w:eastAsia="MS Gothic" w:hAnsi="MS Gothic" w:cs="MS Gothic" w:hint="eastAsia"/>
              </w:rPr>
              <w:t>‌</w:t>
            </w:r>
            <w:r>
              <w:rPr>
                <w:rStyle w:val="ad"/>
                <w:rFonts w:ascii="Arial" w:hAnsi="Arial" w:cs="Arial"/>
              </w:rPr>
              <w:t>分辨率</w:t>
            </w:r>
            <w:r>
              <w:rPr>
                <w:rFonts w:ascii="MS Gothic" w:eastAsia="MS Gothic" w:hAnsi="MS Gothic" w:cs="MS Gothic" w:hint="eastAsia"/>
              </w:rPr>
              <w:t>‌</w:t>
            </w:r>
            <w:r>
              <w:t>：</w:t>
            </w:r>
            <w:r>
              <w:rPr>
                <w:rFonts w:hint="eastAsia"/>
              </w:rPr>
              <w:t>大于等于</w:t>
            </w:r>
            <w:r>
              <w:t>2560×1600（2.5K）</w:t>
            </w:r>
            <w:r>
              <w:rPr>
                <w:rFonts w:ascii="MS Gothic" w:eastAsia="MS Gothic" w:hAnsi="MS Gothic" w:cs="MS Gothic" w:hint="eastAsia"/>
              </w:rPr>
              <w:t>‌</w:t>
            </w:r>
            <w:bookmarkStart w:id="0" w:name="_GoBack"/>
            <w:bookmarkEnd w:id="0"/>
          </w:p>
          <w:p w14:paraId="3CBCE3A9" w14:textId="720440EF" w:rsidR="00782FC2" w:rsidRPr="00B14E2A" w:rsidRDefault="00782FC2" w:rsidP="00090197">
            <w:pPr>
              <w:rPr>
                <w:rFonts w:ascii="Times New Roman" w:eastAsia="宋体" w:hAnsi="Times New Roman" w:cs="Times New Roman"/>
                <w:sz w:val="20"/>
                <w:szCs w:val="24"/>
              </w:rPr>
            </w:pPr>
          </w:p>
        </w:tc>
        <w:tc>
          <w:tcPr>
            <w:tcW w:w="992" w:type="dxa"/>
            <w:vAlign w:val="center"/>
          </w:tcPr>
          <w:p w14:paraId="35769300" w14:textId="0A0D0CA7" w:rsidR="003E3352" w:rsidRDefault="00B14E2A"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9000</w:t>
            </w:r>
          </w:p>
        </w:tc>
        <w:tc>
          <w:tcPr>
            <w:tcW w:w="567" w:type="dxa"/>
            <w:vAlign w:val="center"/>
          </w:tcPr>
          <w:p w14:paraId="20F24137" w14:textId="0E321BF3" w:rsidR="003E3352" w:rsidRDefault="00B14E2A"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1</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63482715" w:rsidR="003E3352" w:rsidRDefault="00B14E2A"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9000</w:t>
            </w:r>
          </w:p>
        </w:tc>
      </w:tr>
      <w:tr w:rsidR="003E3352" w14:paraId="2344CE04" w14:textId="77777777" w:rsidTr="006E1DF6">
        <w:trPr>
          <w:trHeight w:val="648"/>
        </w:trPr>
        <w:tc>
          <w:tcPr>
            <w:tcW w:w="8081" w:type="dxa"/>
            <w:gridSpan w:val="6"/>
            <w:vAlign w:val="center"/>
          </w:tcPr>
          <w:p w14:paraId="4DB5F412" w14:textId="77777777"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22D75F10" w:rsidR="003E3352" w:rsidRDefault="00B14E2A"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9000</w:t>
            </w:r>
          </w:p>
        </w:tc>
      </w:tr>
    </w:tbl>
    <w:p w14:paraId="422B7A20" w14:textId="5C9FC267" w:rsidR="003755F4" w:rsidRPr="00ED6D6C" w:rsidRDefault="003755F4"/>
    <w:p w14:paraId="77F1D191" w14:textId="130193F3" w:rsidR="00A76012" w:rsidRDefault="00A76012"/>
    <w:p w14:paraId="3E9596E3" w14:textId="0BCA527E" w:rsidR="00A76012" w:rsidRDefault="00A76012"/>
    <w:p w14:paraId="6BCB5EF2" w14:textId="74066C70" w:rsidR="00A76012" w:rsidRDefault="00A76012"/>
    <w:p w14:paraId="18F901F5" w14:textId="77777777" w:rsidR="003755F4" w:rsidRDefault="003755F4">
      <w:pPr>
        <w:rPr>
          <w:highlight w:val="yellow"/>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514"/>
        <w:gridCol w:w="28"/>
        <w:gridCol w:w="6585"/>
      </w:tblGrid>
      <w:tr w:rsidR="003755F4" w14:paraId="2D2FE550" w14:textId="77777777">
        <w:trPr>
          <w:trHeight w:val="454"/>
          <w:jc w:val="center"/>
        </w:trPr>
        <w:tc>
          <w:tcPr>
            <w:tcW w:w="726"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127"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trPr>
          <w:trHeight w:val="454"/>
          <w:jc w:val="center"/>
        </w:trPr>
        <w:tc>
          <w:tcPr>
            <w:tcW w:w="8853"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trPr>
          <w:trHeight w:val="939"/>
          <w:jc w:val="center"/>
        </w:trPr>
        <w:tc>
          <w:tcPr>
            <w:tcW w:w="726"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lastRenderedPageBreak/>
              <w:t>1</w:t>
            </w:r>
          </w:p>
        </w:tc>
        <w:tc>
          <w:tcPr>
            <w:tcW w:w="1514"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63BA139C"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trPr>
          <w:trHeight w:val="454"/>
          <w:jc w:val="center"/>
        </w:trPr>
        <w:tc>
          <w:tcPr>
            <w:tcW w:w="726" w:type="dxa"/>
            <w:vMerge w:val="restart"/>
            <w:vAlign w:val="center"/>
          </w:tcPr>
          <w:p w14:paraId="59B0F05C" w14:textId="551D19B5" w:rsidR="003755F4" w:rsidRDefault="00782FC2">
            <w:pPr>
              <w:widowControl/>
              <w:spacing w:line="360" w:lineRule="auto"/>
              <w:rPr>
                <w:rFonts w:ascii="宋体" w:eastAsia="宋体" w:hAnsi="宋体" w:cs="宋体"/>
                <w:b/>
                <w:szCs w:val="21"/>
              </w:rPr>
            </w:pPr>
            <w:r>
              <w:rPr>
                <w:rFonts w:ascii="宋体" w:eastAsia="宋体" w:hAnsi="宋体" w:cs="宋体"/>
                <w:szCs w:val="21"/>
              </w:rPr>
              <w:t>2</w:t>
            </w:r>
          </w:p>
        </w:tc>
        <w:tc>
          <w:tcPr>
            <w:tcW w:w="1514"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74839690"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EC5E4E">
              <w:rPr>
                <w:rFonts w:ascii="宋体" w:eastAsia="宋体" w:hAnsi="宋体" w:cs="宋体" w:hint="eastAsia"/>
                <w:bCs/>
                <w:szCs w:val="21"/>
                <w:u w:val="single"/>
              </w:rPr>
              <w:t>两</w:t>
            </w:r>
            <w:r w:rsidR="00782FC2">
              <w:rPr>
                <w:rFonts w:ascii="宋体" w:eastAsia="宋体" w:hAnsi="宋体" w:cs="宋体" w:hint="eastAsia"/>
                <w:bCs/>
                <w:szCs w:val="21"/>
                <w:u w:val="single"/>
              </w:rPr>
              <w:t>年</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trPr>
          <w:trHeight w:val="454"/>
          <w:jc w:val="center"/>
        </w:trPr>
        <w:tc>
          <w:tcPr>
            <w:tcW w:w="726"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514"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7914A61E"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trPr>
          <w:trHeight w:val="454"/>
          <w:jc w:val="center"/>
        </w:trPr>
        <w:tc>
          <w:tcPr>
            <w:tcW w:w="8853"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trPr>
          <w:trHeight w:val="454"/>
          <w:jc w:val="center"/>
        </w:trPr>
        <w:tc>
          <w:tcPr>
            <w:tcW w:w="726"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1" w:name="_Hlk72260973"/>
            <w:r>
              <w:rPr>
                <w:rFonts w:ascii="宋体" w:eastAsia="宋体" w:hAnsi="宋体" w:cs="宋体" w:hint="eastAsia"/>
                <w:bCs/>
                <w:szCs w:val="21"/>
              </w:rPr>
              <w:t>1</w:t>
            </w:r>
          </w:p>
        </w:tc>
        <w:tc>
          <w:tcPr>
            <w:tcW w:w="1542"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1.1履约时间和地点：供应商在签订合同之日起5天内交货，交货地点为采购方指定位置。</w:t>
            </w:r>
          </w:p>
        </w:tc>
      </w:tr>
      <w:tr w:rsidR="003755F4" w14:paraId="05DC7BC0" w14:textId="77777777">
        <w:trPr>
          <w:trHeight w:val="454"/>
          <w:jc w:val="center"/>
        </w:trPr>
        <w:tc>
          <w:tcPr>
            <w:tcW w:w="726"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trPr>
          <w:trHeight w:val="454"/>
          <w:jc w:val="center"/>
        </w:trPr>
        <w:tc>
          <w:tcPr>
            <w:tcW w:w="726"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trPr>
          <w:trHeight w:val="454"/>
          <w:jc w:val="center"/>
        </w:trPr>
        <w:tc>
          <w:tcPr>
            <w:tcW w:w="726"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w:t>
            </w:r>
            <w:r>
              <w:rPr>
                <w:rFonts w:ascii="宋体" w:eastAsia="宋体" w:hAnsi="宋体" w:cs="宋体" w:hint="eastAsia"/>
                <w:bCs/>
                <w:szCs w:val="21"/>
              </w:rPr>
              <w:lastRenderedPageBreak/>
              <w:t>通过偷工减料、以次充好而获取利润的，履约评价工作实施机构评为履约等级“差”并按主管部门相关规定处理</w:t>
            </w:r>
            <w:r>
              <w:rPr>
                <w:rFonts w:ascii="宋体" w:eastAsia="宋体" w:hAnsi="宋体" w:cs="宋体" w:hint="eastAsia"/>
                <w:szCs w:val="21"/>
              </w:rPr>
              <w:t>。</w:t>
            </w:r>
          </w:p>
        </w:tc>
      </w:tr>
      <w:bookmarkEnd w:id="1"/>
      <w:tr w:rsidR="003755F4" w14:paraId="7AD4CA7C" w14:textId="77777777">
        <w:trPr>
          <w:trHeight w:val="682"/>
          <w:jc w:val="center"/>
        </w:trPr>
        <w:tc>
          <w:tcPr>
            <w:tcW w:w="726"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lastRenderedPageBreak/>
              <w:t>2</w:t>
            </w:r>
          </w:p>
        </w:tc>
        <w:tc>
          <w:tcPr>
            <w:tcW w:w="1542"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 5天内向采购人提供设备的运行、安装、使用环境要求。</w:t>
            </w:r>
          </w:p>
        </w:tc>
      </w:tr>
      <w:tr w:rsidR="003755F4" w14:paraId="4D16627B" w14:textId="77777777">
        <w:trPr>
          <w:trHeight w:val="132"/>
          <w:jc w:val="center"/>
        </w:trPr>
        <w:tc>
          <w:tcPr>
            <w:tcW w:w="726"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trPr>
          <w:trHeight w:val="689"/>
          <w:jc w:val="center"/>
        </w:trPr>
        <w:tc>
          <w:tcPr>
            <w:tcW w:w="726"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trPr>
          <w:trHeight w:val="689"/>
          <w:jc w:val="center"/>
        </w:trPr>
        <w:tc>
          <w:tcPr>
            <w:tcW w:w="726"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trPr>
          <w:trHeight w:val="689"/>
          <w:jc w:val="center"/>
        </w:trPr>
        <w:tc>
          <w:tcPr>
            <w:tcW w:w="726"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trPr>
          <w:trHeight w:val="689"/>
          <w:jc w:val="center"/>
        </w:trPr>
        <w:tc>
          <w:tcPr>
            <w:tcW w:w="726"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trPr>
          <w:trHeight w:val="689"/>
          <w:jc w:val="center"/>
        </w:trPr>
        <w:tc>
          <w:tcPr>
            <w:tcW w:w="726"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0975A1A9" w14:textId="77777777">
        <w:trPr>
          <w:trHeight w:val="454"/>
          <w:jc w:val="center"/>
        </w:trPr>
        <w:tc>
          <w:tcPr>
            <w:tcW w:w="726"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77777777" w:rsidR="003755F4" w:rsidRDefault="007A7713">
            <w:pPr>
              <w:widowControl/>
              <w:spacing w:line="360" w:lineRule="auto"/>
              <w:jc w:val="left"/>
              <w:rPr>
                <w:rFonts w:ascii="宋体" w:eastAsia="宋体" w:hAnsi="宋体" w:cs="宋体"/>
                <w:szCs w:val="21"/>
              </w:rPr>
            </w:pPr>
            <w:r>
              <w:rPr>
                <w:rFonts w:ascii="宋体" w:eastAsia="宋体" w:hAnsi="宋体" w:cs="宋体" w:hint="eastAsia"/>
                <w:szCs w:val="21"/>
              </w:rPr>
              <w:t>3.2 现场培训：供应商应提供现场技术培训，保证使用人员正常操作设备的各种功能。</w:t>
            </w:r>
          </w:p>
        </w:tc>
      </w:tr>
      <w:tr w:rsidR="003755F4" w14:paraId="5111BD9A" w14:textId="77777777">
        <w:trPr>
          <w:trHeight w:val="271"/>
          <w:jc w:val="center"/>
        </w:trPr>
        <w:tc>
          <w:tcPr>
            <w:tcW w:w="726"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542"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55A277D0" w:rsidR="003755F4" w:rsidRDefault="007A7713">
            <w:pPr>
              <w:widowControl/>
              <w:spacing w:line="360" w:lineRule="auto"/>
              <w:jc w:val="left"/>
              <w:rPr>
                <w:rFonts w:ascii="宋体" w:eastAsia="宋体" w:hAnsi="宋体" w:cs="宋体"/>
                <w:szCs w:val="21"/>
              </w:rPr>
            </w:pPr>
            <w:r>
              <w:rPr>
                <w:rFonts w:ascii="宋体" w:eastAsia="宋体" w:hAnsi="宋体" w:cs="宋体" w:hint="eastAsia"/>
                <w:szCs w:val="21"/>
              </w:rPr>
              <w:t>5.1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Pr>
                <w:rFonts w:ascii="宋体" w:eastAsia="宋体" w:hAnsi="宋体" w:cs="宋体" w:hint="eastAsia"/>
                <w:szCs w:val="21"/>
              </w:rPr>
              <w:t>，否则验收不通过。</w:t>
            </w:r>
          </w:p>
        </w:tc>
      </w:tr>
      <w:tr w:rsidR="003755F4" w14:paraId="23571A08" w14:textId="77777777">
        <w:trPr>
          <w:trHeight w:val="461"/>
          <w:jc w:val="center"/>
        </w:trPr>
        <w:tc>
          <w:tcPr>
            <w:tcW w:w="726"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5.2供应商应按其投标文件中的承诺，进行其他售后服务工作。</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F189C" w14:textId="77777777" w:rsidR="003E3B9A" w:rsidRDefault="003E3B9A" w:rsidP="002847A0">
      <w:r>
        <w:separator/>
      </w:r>
    </w:p>
  </w:endnote>
  <w:endnote w:type="continuationSeparator" w:id="0">
    <w:p w14:paraId="0A3A9868" w14:textId="77777777" w:rsidR="003E3B9A" w:rsidRDefault="003E3B9A"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E493E" w14:textId="77777777" w:rsidR="003E3B9A" w:rsidRDefault="003E3B9A" w:rsidP="002847A0">
      <w:r>
        <w:separator/>
      </w:r>
    </w:p>
  </w:footnote>
  <w:footnote w:type="continuationSeparator" w:id="0">
    <w:p w14:paraId="6D168E24" w14:textId="77777777" w:rsidR="003E3B9A" w:rsidRDefault="003E3B9A"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50DD"/>
    <w:multiLevelType w:val="multilevel"/>
    <w:tmpl w:val="DF2C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965E1"/>
    <w:multiLevelType w:val="multilevel"/>
    <w:tmpl w:val="7176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4E94"/>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92BE5"/>
    <w:rsid w:val="00194D8C"/>
    <w:rsid w:val="001B6657"/>
    <w:rsid w:val="002316FA"/>
    <w:rsid w:val="00232B68"/>
    <w:rsid w:val="002639DE"/>
    <w:rsid w:val="0027014F"/>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E3B9A"/>
    <w:rsid w:val="003F6FC7"/>
    <w:rsid w:val="00404638"/>
    <w:rsid w:val="00422B48"/>
    <w:rsid w:val="00471649"/>
    <w:rsid w:val="0048389C"/>
    <w:rsid w:val="004A3B0D"/>
    <w:rsid w:val="004E6F97"/>
    <w:rsid w:val="0050538A"/>
    <w:rsid w:val="00511D9A"/>
    <w:rsid w:val="00531B4A"/>
    <w:rsid w:val="00532622"/>
    <w:rsid w:val="00534EAA"/>
    <w:rsid w:val="00564F41"/>
    <w:rsid w:val="00585F2E"/>
    <w:rsid w:val="005A73E6"/>
    <w:rsid w:val="005C77BF"/>
    <w:rsid w:val="005E67D4"/>
    <w:rsid w:val="00610268"/>
    <w:rsid w:val="0065536D"/>
    <w:rsid w:val="006B163F"/>
    <w:rsid w:val="006B43E7"/>
    <w:rsid w:val="006C7E25"/>
    <w:rsid w:val="007006E2"/>
    <w:rsid w:val="00711775"/>
    <w:rsid w:val="007513FE"/>
    <w:rsid w:val="007526F5"/>
    <w:rsid w:val="00782FC2"/>
    <w:rsid w:val="007A37B4"/>
    <w:rsid w:val="007A7713"/>
    <w:rsid w:val="007D0524"/>
    <w:rsid w:val="007D0997"/>
    <w:rsid w:val="007D6115"/>
    <w:rsid w:val="007F2E5F"/>
    <w:rsid w:val="0080596E"/>
    <w:rsid w:val="00834754"/>
    <w:rsid w:val="00836089"/>
    <w:rsid w:val="008404AE"/>
    <w:rsid w:val="00870F40"/>
    <w:rsid w:val="00885B4A"/>
    <w:rsid w:val="008B5505"/>
    <w:rsid w:val="009453AE"/>
    <w:rsid w:val="009615A3"/>
    <w:rsid w:val="009C0872"/>
    <w:rsid w:val="009D6CBD"/>
    <w:rsid w:val="00A20AA6"/>
    <w:rsid w:val="00A2499B"/>
    <w:rsid w:val="00A309DE"/>
    <w:rsid w:val="00A521A6"/>
    <w:rsid w:val="00A76012"/>
    <w:rsid w:val="00AB35E6"/>
    <w:rsid w:val="00AD6047"/>
    <w:rsid w:val="00AF7205"/>
    <w:rsid w:val="00AF7D63"/>
    <w:rsid w:val="00B130C0"/>
    <w:rsid w:val="00B14E2A"/>
    <w:rsid w:val="00B51041"/>
    <w:rsid w:val="00BB3676"/>
    <w:rsid w:val="00BC203C"/>
    <w:rsid w:val="00BC4B38"/>
    <w:rsid w:val="00BF3432"/>
    <w:rsid w:val="00C2090A"/>
    <w:rsid w:val="00C2775C"/>
    <w:rsid w:val="00C35167"/>
    <w:rsid w:val="00C36FF3"/>
    <w:rsid w:val="00CA196E"/>
    <w:rsid w:val="00CA5EE2"/>
    <w:rsid w:val="00CB7CCF"/>
    <w:rsid w:val="00D10E62"/>
    <w:rsid w:val="00D143E6"/>
    <w:rsid w:val="00D51DB9"/>
    <w:rsid w:val="00D87A85"/>
    <w:rsid w:val="00DA5C1C"/>
    <w:rsid w:val="00DC1743"/>
    <w:rsid w:val="00E1711A"/>
    <w:rsid w:val="00E5035D"/>
    <w:rsid w:val="00EB1E94"/>
    <w:rsid w:val="00EC3FE7"/>
    <w:rsid w:val="00EC4B27"/>
    <w:rsid w:val="00EC5E4E"/>
    <w:rsid w:val="00ED6D6C"/>
    <w:rsid w:val="00EF1347"/>
    <w:rsid w:val="00EF76BB"/>
    <w:rsid w:val="00F0084A"/>
    <w:rsid w:val="00F51A94"/>
    <w:rsid w:val="00F53A90"/>
    <w:rsid w:val="00F67BA1"/>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semiHidden/>
    <w:unhideWhenUsed/>
    <w:qFormat/>
    <w:rsid w:val="00B14E2A"/>
    <w:pPr>
      <w:keepNext/>
      <w:keepLines/>
      <w:spacing w:before="260" w:after="260" w:line="416" w:lineRule="auto"/>
      <w:outlineLvl w:val="2"/>
    </w:pPr>
    <w:rPr>
      <w:rFonts w:ascii="等线" w:eastAsia="等线" w:hAnsi="等线"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 w:type="character" w:customStyle="1" w:styleId="30">
    <w:name w:val="标题 3 字符"/>
    <w:basedOn w:val="a0"/>
    <w:link w:val="3"/>
    <w:uiPriority w:val="9"/>
    <w:semiHidden/>
    <w:rsid w:val="00B14E2A"/>
    <w:rPr>
      <w:rFonts w:ascii="等线" w:eastAsia="等线" w:hAnsi="等线"/>
      <w:b/>
      <w:bCs/>
      <w:kern w:val="2"/>
      <w:sz w:val="32"/>
      <w:szCs w:val="32"/>
    </w:rPr>
  </w:style>
  <w:style w:type="character" w:customStyle="1" w:styleId="cosd-citation-citationid">
    <w:name w:val="cosd-citation-citationid"/>
    <w:basedOn w:val="a0"/>
    <w:rsid w:val="00B1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1488</Characters>
  <Application>Microsoft Office Word</Application>
  <DocSecurity>0</DocSecurity>
  <Lines>12</Lines>
  <Paragraphs>3</Paragraphs>
  <ScaleCrop>false</ScaleCrop>
  <Company>HP Inc.</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3</cp:revision>
  <dcterms:created xsi:type="dcterms:W3CDTF">2025-10-20T04:09:00Z</dcterms:created>
  <dcterms:modified xsi:type="dcterms:W3CDTF">2025-10-20T04:14:00Z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