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9D602">
      <w:pPr>
        <w:pStyle w:val="5"/>
        <w:adjustRightInd/>
        <w:spacing w:after="0"/>
        <w:ind w:firstLine="640"/>
        <w:textAlignment w:val="auto"/>
        <w:rPr>
          <w:rFonts w:ascii="Times New Roman" w:hAnsi="Times New Roman"/>
          <w:kern w:val="2"/>
          <w:szCs w:val="32"/>
          <w:u w:val="single"/>
        </w:rPr>
      </w:pPr>
      <w:r>
        <w:rPr>
          <w:rFonts w:hint="eastAsia" w:ascii="Times New Roman" w:hAnsi="Times New Roman"/>
          <w:kern w:val="2"/>
          <w:szCs w:val="32"/>
          <w:u w:val="single"/>
        </w:rPr>
        <w:t>（1）适用于出入境证照查验使用，具有设计紧凑便于携带等特点。</w:t>
      </w:r>
    </w:p>
    <w:p w14:paraId="7083E889">
      <w:pPr>
        <w:pStyle w:val="5"/>
        <w:adjustRightInd/>
        <w:spacing w:after="0"/>
        <w:ind w:firstLine="640"/>
        <w:textAlignment w:val="auto"/>
        <w:rPr>
          <w:rFonts w:ascii="Times New Roman" w:hAnsi="Times New Roman"/>
          <w:kern w:val="2"/>
          <w:szCs w:val="32"/>
          <w:u w:val="single"/>
        </w:rPr>
      </w:pPr>
      <w:r>
        <w:rPr>
          <w:rFonts w:hint="eastAsia" w:ascii="Times New Roman" w:hAnsi="Times New Roman"/>
          <w:kern w:val="2"/>
          <w:szCs w:val="32"/>
          <w:u w:val="single"/>
        </w:rPr>
        <w:t>（2）一体化便携式结构，外形尺寸不大于100mm×65mm×58</w:t>
      </w:r>
      <w:r>
        <w:rPr>
          <w:rFonts w:ascii="Times New Roman" w:hAnsi="Times New Roman"/>
          <w:kern w:val="2"/>
          <w:szCs w:val="32"/>
          <w:u w:val="single"/>
        </w:rPr>
        <w:t>mm</w:t>
      </w:r>
      <w:r>
        <w:rPr>
          <w:rFonts w:hint="eastAsia" w:ascii="Times New Roman" w:hAnsi="Times New Roman"/>
          <w:kern w:val="2"/>
          <w:szCs w:val="32"/>
          <w:u w:val="single"/>
        </w:rPr>
        <w:t>，整机重量不大于</w:t>
      </w:r>
      <w:r>
        <w:rPr>
          <w:rFonts w:ascii="Times New Roman" w:hAnsi="Times New Roman"/>
          <w:kern w:val="2"/>
          <w:szCs w:val="32"/>
          <w:u w:val="single"/>
        </w:rPr>
        <w:t>110g</w:t>
      </w:r>
      <w:r>
        <w:rPr>
          <w:rFonts w:hint="eastAsia" w:ascii="Times New Roman" w:hAnsi="Times New Roman"/>
          <w:kern w:val="2"/>
          <w:szCs w:val="32"/>
          <w:u w:val="single"/>
        </w:rPr>
        <w:t>。</w:t>
      </w:r>
    </w:p>
    <w:p w14:paraId="0F7CB97F">
      <w:pPr>
        <w:pStyle w:val="5"/>
        <w:adjustRightInd/>
        <w:spacing w:after="0"/>
        <w:ind w:firstLine="640"/>
        <w:textAlignment w:val="auto"/>
        <w:rPr>
          <w:rFonts w:ascii="Times New Roman" w:hAnsi="Times New Roman"/>
          <w:kern w:val="2"/>
          <w:szCs w:val="32"/>
          <w:u w:val="single"/>
        </w:rPr>
      </w:pPr>
      <w:r>
        <w:rPr>
          <w:rFonts w:hint="eastAsia" w:ascii="Times New Roman" w:hAnsi="Times New Roman"/>
          <w:kern w:val="2"/>
          <w:szCs w:val="32"/>
          <w:u w:val="single"/>
        </w:rPr>
        <w:t>（3）内置电池供电，USB充电。</w:t>
      </w:r>
    </w:p>
    <w:p w14:paraId="3EE4FC00">
      <w:pPr>
        <w:pStyle w:val="5"/>
        <w:adjustRightInd/>
        <w:spacing w:after="0"/>
        <w:ind w:firstLine="640"/>
        <w:textAlignment w:val="auto"/>
        <w:rPr>
          <w:rFonts w:ascii="Times New Roman" w:hAnsi="Times New Roman"/>
          <w:kern w:val="2"/>
          <w:szCs w:val="32"/>
          <w:u w:val="single"/>
        </w:rPr>
      </w:pPr>
      <w:r>
        <w:rPr>
          <w:rFonts w:hint="eastAsia" w:ascii="Times New Roman" w:hAnsi="Times New Roman"/>
          <w:kern w:val="2"/>
          <w:szCs w:val="32"/>
          <w:u w:val="single"/>
        </w:rPr>
        <w:t>（4）符合IEC60950光电产品GLASS1标准。</w:t>
      </w:r>
    </w:p>
    <w:p w14:paraId="0F573591">
      <w:pPr>
        <w:pStyle w:val="5"/>
        <w:adjustRightInd/>
        <w:spacing w:after="0"/>
        <w:ind w:firstLine="640"/>
        <w:textAlignment w:val="auto"/>
        <w:rPr>
          <w:rFonts w:ascii="Times New Roman" w:hAnsi="Times New Roman"/>
          <w:kern w:val="2"/>
          <w:szCs w:val="32"/>
          <w:u w:val="single"/>
        </w:rPr>
      </w:pPr>
      <w:r>
        <w:rPr>
          <w:rFonts w:hint="eastAsia" w:ascii="Times New Roman" w:hAnsi="Times New Roman"/>
          <w:kern w:val="2"/>
          <w:szCs w:val="32"/>
          <w:u w:val="single"/>
        </w:rPr>
        <w:t>（5）设备可分别开启如下光源：入射</w:t>
      </w:r>
      <w:r>
        <w:rPr>
          <w:rFonts w:ascii="Times New Roman" w:hAnsi="Times New Roman"/>
          <w:kern w:val="2"/>
          <w:szCs w:val="32"/>
          <w:u w:val="single"/>
        </w:rPr>
        <w:t>/透射</w:t>
      </w:r>
      <w:r>
        <w:rPr>
          <w:rFonts w:hint="eastAsia" w:ascii="Times New Roman" w:hAnsi="Times New Roman"/>
          <w:kern w:val="2"/>
          <w:szCs w:val="32"/>
          <w:u w:val="single"/>
        </w:rPr>
        <w:t>可见光源、4</w:t>
      </w:r>
      <w:r>
        <w:rPr>
          <w:rFonts w:ascii="Times New Roman" w:hAnsi="Times New Roman"/>
          <w:kern w:val="2"/>
          <w:szCs w:val="32"/>
          <w:u w:val="single"/>
        </w:rPr>
        <w:t>00nm</w:t>
      </w:r>
      <w:r>
        <w:rPr>
          <w:rFonts w:hint="eastAsia" w:ascii="Times New Roman" w:hAnsi="Times New Roman"/>
          <w:kern w:val="2"/>
          <w:szCs w:val="32"/>
          <w:u w:val="single"/>
        </w:rPr>
        <w:t>长波紫光源、3</w:t>
      </w:r>
      <w:r>
        <w:rPr>
          <w:rFonts w:ascii="Times New Roman" w:hAnsi="Times New Roman"/>
          <w:kern w:val="2"/>
          <w:szCs w:val="32"/>
          <w:u w:val="single"/>
        </w:rPr>
        <w:t>65nm</w:t>
      </w:r>
      <w:r>
        <w:rPr>
          <w:rFonts w:hint="eastAsia" w:ascii="Times New Roman" w:hAnsi="Times New Roman"/>
          <w:kern w:val="2"/>
          <w:szCs w:val="32"/>
          <w:u w:val="single"/>
        </w:rPr>
        <w:t>中波紫外光源、</w:t>
      </w:r>
      <w:r>
        <w:rPr>
          <w:rFonts w:ascii="Times New Roman" w:hAnsi="Times New Roman"/>
          <w:kern w:val="2"/>
          <w:szCs w:val="32"/>
          <w:u w:val="single"/>
        </w:rPr>
        <w:t>313nm</w:t>
      </w:r>
      <w:r>
        <w:rPr>
          <w:rFonts w:hint="eastAsia" w:ascii="Times New Roman" w:hAnsi="Times New Roman"/>
          <w:kern w:val="2"/>
          <w:szCs w:val="32"/>
          <w:u w:val="single"/>
        </w:rPr>
        <w:t>中波紫外光源、2</w:t>
      </w:r>
      <w:r>
        <w:rPr>
          <w:rFonts w:ascii="Times New Roman" w:hAnsi="Times New Roman"/>
          <w:kern w:val="2"/>
          <w:szCs w:val="32"/>
          <w:u w:val="single"/>
        </w:rPr>
        <w:t>54nm</w:t>
      </w:r>
      <w:r>
        <w:rPr>
          <w:rFonts w:hint="eastAsia" w:ascii="Times New Roman" w:hAnsi="Times New Roman"/>
          <w:kern w:val="2"/>
          <w:szCs w:val="32"/>
          <w:u w:val="single"/>
        </w:rPr>
        <w:t>短波紫外光源、同轴可见光源（检验3M防伪膜）、左侧可见侧光源、右侧可见侧光源、OVD环形可见光源（检验全息防伪）、宽幅9</w:t>
      </w:r>
      <w:r>
        <w:rPr>
          <w:rFonts w:ascii="Times New Roman" w:hAnsi="Times New Roman"/>
          <w:kern w:val="2"/>
          <w:szCs w:val="32"/>
          <w:u w:val="single"/>
        </w:rPr>
        <w:t>80</w:t>
      </w:r>
      <w:r>
        <w:rPr>
          <w:rFonts w:hint="eastAsia" w:ascii="Times New Roman" w:hAnsi="Times New Roman"/>
          <w:kern w:val="2"/>
          <w:szCs w:val="32"/>
          <w:u w:val="single"/>
        </w:rPr>
        <w:t>nm</w:t>
      </w:r>
      <w:r>
        <w:rPr>
          <w:rFonts w:ascii="Times New Roman" w:hAnsi="Times New Roman"/>
          <w:kern w:val="2"/>
          <w:szCs w:val="32"/>
          <w:u w:val="single"/>
        </w:rPr>
        <w:t>AS</w:t>
      </w:r>
      <w:r>
        <w:rPr>
          <w:rFonts w:hint="eastAsia" w:ascii="Times New Roman" w:hAnsi="Times New Roman"/>
          <w:kern w:val="2"/>
          <w:szCs w:val="32"/>
          <w:u w:val="single"/>
        </w:rPr>
        <w:t>光源（检验反斯托克防伪油墨）、窄幅9</w:t>
      </w:r>
      <w:r>
        <w:rPr>
          <w:rFonts w:ascii="Times New Roman" w:hAnsi="Times New Roman"/>
          <w:kern w:val="2"/>
          <w:szCs w:val="32"/>
          <w:u w:val="single"/>
        </w:rPr>
        <w:t>80nmAS</w:t>
      </w:r>
      <w:r>
        <w:rPr>
          <w:rFonts w:hint="eastAsia" w:ascii="Times New Roman" w:hAnsi="Times New Roman"/>
          <w:kern w:val="2"/>
          <w:szCs w:val="32"/>
          <w:u w:val="single"/>
        </w:rPr>
        <w:t>光源（检验反斯托克防伪油墨）、可见光和紫光交替光源。</w:t>
      </w:r>
    </w:p>
    <w:p w14:paraId="1FAEA9D5">
      <w:pPr>
        <w:pStyle w:val="5"/>
        <w:adjustRightInd/>
        <w:spacing w:after="0"/>
        <w:ind w:firstLine="640"/>
        <w:textAlignment w:val="auto"/>
        <w:rPr>
          <w:rFonts w:ascii="Times New Roman" w:hAnsi="Times New Roman"/>
          <w:kern w:val="2"/>
          <w:szCs w:val="32"/>
          <w:u w:val="single"/>
        </w:rPr>
      </w:pPr>
      <w:r>
        <w:rPr>
          <w:rFonts w:hint="eastAsia" w:ascii="Times New Roman" w:hAnsi="Times New Roman"/>
          <w:kern w:val="2"/>
          <w:szCs w:val="32"/>
          <w:u w:val="single"/>
        </w:rPr>
        <w:t>（6）设备应具备≥20倍的光学放大能力，镜筒可以进行焦距微调。</w:t>
      </w:r>
    </w:p>
    <w:p w14:paraId="0AB62607">
      <w:pPr>
        <w:pStyle w:val="5"/>
        <w:adjustRightInd/>
        <w:spacing w:after="0"/>
        <w:ind w:firstLine="640"/>
        <w:textAlignment w:val="auto"/>
        <w:rPr>
          <w:rFonts w:ascii="Times New Roman" w:hAnsi="Times New Roman"/>
          <w:kern w:val="2"/>
          <w:szCs w:val="32"/>
          <w:u w:val="single"/>
        </w:rPr>
      </w:pPr>
      <w:r>
        <w:rPr>
          <w:rFonts w:hint="eastAsia" w:ascii="Times New Roman" w:hAnsi="Times New Roman"/>
          <w:kern w:val="2"/>
          <w:szCs w:val="32"/>
          <w:u w:val="single"/>
        </w:rPr>
        <w:t>（7）具备调焦功能，通过调焦旋钮对被测物体进行对焦。</w:t>
      </w:r>
    </w:p>
    <w:p w14:paraId="3467E0F7">
      <w:pPr>
        <w:pStyle w:val="5"/>
        <w:adjustRightInd/>
        <w:spacing w:after="0"/>
        <w:ind w:firstLine="640"/>
        <w:textAlignment w:val="auto"/>
        <w:rPr>
          <w:rFonts w:ascii="Times New Roman" w:hAnsi="Times New Roman"/>
          <w:kern w:val="2"/>
          <w:szCs w:val="32"/>
          <w:u w:val="single"/>
        </w:rPr>
      </w:pPr>
      <w:r>
        <w:rPr>
          <w:rFonts w:hint="eastAsia" w:ascii="Times New Roman" w:hAnsi="Times New Roman"/>
          <w:kern w:val="2"/>
          <w:szCs w:val="32"/>
          <w:u w:val="single"/>
        </w:rPr>
        <w:t>（8）具备角度标尺、同心圆标尺、长度标尺、直线宽度测尺。设备与文件接触面应选用分划板进行隔离，分划板直径不小于3</w:t>
      </w:r>
      <w:r>
        <w:rPr>
          <w:rFonts w:ascii="Times New Roman" w:hAnsi="Times New Roman"/>
          <w:kern w:val="2"/>
          <w:szCs w:val="32"/>
          <w:u w:val="single"/>
        </w:rPr>
        <w:t>5mm</w:t>
      </w:r>
      <w:r>
        <w:rPr>
          <w:rFonts w:hint="eastAsia" w:ascii="Times New Roman" w:hAnsi="Times New Roman"/>
          <w:kern w:val="2"/>
          <w:szCs w:val="32"/>
          <w:u w:val="single"/>
        </w:rPr>
        <w:t>。</w:t>
      </w:r>
    </w:p>
    <w:p w14:paraId="102E4358">
      <w:pPr>
        <w:pStyle w:val="5"/>
        <w:adjustRightInd/>
        <w:spacing w:after="0"/>
        <w:ind w:firstLine="640"/>
        <w:textAlignment w:val="auto"/>
        <w:rPr>
          <w:rFonts w:ascii="Times New Roman" w:hAnsi="Times New Roman"/>
          <w:kern w:val="2"/>
          <w:szCs w:val="32"/>
          <w:u w:val="single"/>
        </w:rPr>
      </w:pPr>
      <w:r>
        <w:rPr>
          <w:rFonts w:hint="eastAsia" w:ascii="Times New Roman" w:hAnsi="Times New Roman"/>
          <w:kern w:val="2"/>
          <w:szCs w:val="32"/>
          <w:u w:val="single"/>
        </w:rPr>
        <w:t>（9）具备工作状态指示灯，可用于指示设备正常工作、欠压和充电状态以及电子芯片检查状态。</w:t>
      </w:r>
    </w:p>
    <w:p w14:paraId="59DA31C0">
      <w:pPr>
        <w:pStyle w:val="5"/>
        <w:adjustRightInd/>
        <w:spacing w:after="0"/>
        <w:ind w:firstLine="640"/>
        <w:textAlignment w:val="auto"/>
        <w:rPr>
          <w:rFonts w:ascii="Times New Roman" w:hAnsi="Times New Roman"/>
          <w:kern w:val="2"/>
          <w:szCs w:val="32"/>
          <w:u w:val="single"/>
        </w:rPr>
      </w:pPr>
      <w:r>
        <w:rPr>
          <w:rFonts w:hint="eastAsia" w:ascii="Times New Roman" w:hAnsi="Times New Roman"/>
          <w:kern w:val="2"/>
          <w:szCs w:val="32"/>
          <w:u w:val="single"/>
        </w:rPr>
        <w:t>（10）可识读</w:t>
      </w:r>
      <w:r>
        <w:rPr>
          <w:rFonts w:ascii="Times New Roman" w:hAnsi="Times New Roman"/>
          <w:kern w:val="2"/>
          <w:szCs w:val="32"/>
          <w:u w:val="single"/>
        </w:rPr>
        <w:t>Type A类和Type B类电子芯片</w:t>
      </w:r>
      <w:r>
        <w:rPr>
          <w:rFonts w:hint="eastAsia" w:ascii="Times New Roman" w:hAnsi="Times New Roman"/>
          <w:kern w:val="2"/>
          <w:szCs w:val="32"/>
          <w:u w:val="single"/>
        </w:rPr>
        <w:t xml:space="preserve">。 </w:t>
      </w:r>
    </w:p>
    <w:p w14:paraId="22B38817">
      <w:pPr>
        <w:pStyle w:val="5"/>
        <w:adjustRightInd/>
        <w:spacing w:after="0"/>
        <w:ind w:firstLine="640"/>
        <w:textAlignment w:val="auto"/>
        <w:rPr>
          <w:rFonts w:ascii="Times New Roman" w:hAnsi="Times New Roman"/>
          <w:kern w:val="2"/>
          <w:szCs w:val="32"/>
          <w:u w:val="single"/>
        </w:rPr>
      </w:pPr>
      <w:r>
        <w:rPr>
          <w:rFonts w:hint="eastAsia" w:ascii="Times New Roman" w:hAnsi="Times New Roman"/>
          <w:kern w:val="2"/>
          <w:szCs w:val="32"/>
          <w:u w:val="single"/>
        </w:rPr>
        <w:t>（11）拟供产品型号应符合国家相关标准，并可提供具备CMA/CNAS资质的第三方检测机构出具的检测报告。</w:t>
      </w:r>
    </w:p>
    <w:p w14:paraId="186991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D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after="160" w:line="560" w:lineRule="exact"/>
      <w:ind w:firstLine="680"/>
      <w:jc w:val="both"/>
      <w:textAlignment w:val="baseline"/>
    </w:pPr>
    <w:rPr>
      <w:rFonts w:ascii="Calibri" w:hAnsi="Calibri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</w:pPr>
  </w:style>
  <w:style w:type="paragraph" w:styleId="5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2026-05-06T08:15:11Z</dcterms:created>
  <dc:creator>HG</dc:creator>
  <cp:lastModifiedBy>张けいこ</cp:lastModifiedBy>
  <dcterms:modified xsi:type="dcterms:W3CDTF">2026-05-06T08:15:15Z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KSOTemplateDocerSaveRecord">
    <vt:lpwstr>eyJoZGlkIjoiNDYxZjBlOTQyNzQ0ZGNjMDk4YTg5MWIzZDFmMDRjZmYiLCJ1c2VySWQiOiI0ODEyMTg5MTYifQ==</vt:lpwstr>
  </property>
  <property fmtid="{D5CDD505-2E9C-101B-9397-08002B2CF9AE}" pid="4" name="ICV">
    <vt:lpwstr>739B79C0C3CE49A9A1CF944C2057A71B_12</vt:lpwstr>
  </property>
</Properties>
</file>