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08DC397C" w:rsidR="00DC1743" w:rsidRDefault="00CA3ED1" w:rsidP="003E3352">
      <w:pPr>
        <w:jc w:val="center"/>
        <w:rPr>
          <w:b/>
          <w:sz w:val="32"/>
          <w:szCs w:val="32"/>
        </w:rPr>
      </w:pPr>
      <w:r>
        <w:rPr>
          <w:rFonts w:hint="eastAsia"/>
          <w:b/>
          <w:sz w:val="32"/>
          <w:szCs w:val="32"/>
        </w:rPr>
        <w:t>移动</w:t>
      </w:r>
      <w:r w:rsidR="003E3352">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5963B585"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CA3ED1">
        <w:rPr>
          <w:rFonts w:ascii="仿宋" w:eastAsia="仿宋" w:hAnsi="仿宋"/>
          <w:sz w:val="28"/>
          <w:szCs w:val="28"/>
          <w:u w:val="single"/>
        </w:rPr>
        <w:t>2</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CA3ED1">
        <w:rPr>
          <w:rFonts w:ascii="仿宋" w:eastAsia="仿宋" w:hAnsi="仿宋"/>
          <w:sz w:val="28"/>
          <w:szCs w:val="28"/>
          <w:u w:val="single"/>
        </w:rPr>
        <w:t>99</w:t>
      </w:r>
      <w:r w:rsidR="00F31637">
        <w:rPr>
          <w:rFonts w:ascii="仿宋" w:eastAsia="仿宋" w:hAnsi="仿宋"/>
          <w:sz w:val="28"/>
          <w:szCs w:val="28"/>
          <w:u w:val="single"/>
        </w:rPr>
        <w:t>0</w:t>
      </w:r>
      <w:r w:rsidR="004728AB">
        <w:rPr>
          <w:rFonts w:ascii="仿宋" w:eastAsia="仿宋" w:hAnsi="仿宋"/>
          <w:sz w:val="28"/>
          <w:szCs w:val="28"/>
          <w:u w:val="single"/>
        </w:rPr>
        <w:t>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5B0EE4AA" w14:textId="22949C57" w:rsidR="00CA3ED1" w:rsidRPr="00FC3750" w:rsidRDefault="00CA3ED1" w:rsidP="00181151">
            <w:pPr>
              <w:widowControl/>
              <w:spacing w:line="360" w:lineRule="auto"/>
              <w:rPr>
                <w:rFonts w:ascii="宋体" w:eastAsia="宋体" w:hAnsi="宋体" w:cs="宋体"/>
                <w:sz w:val="18"/>
                <w:szCs w:val="18"/>
              </w:rPr>
            </w:pPr>
            <w:r w:rsidRPr="00FC3750">
              <w:rPr>
                <w:rFonts w:ascii="宋体" w:eastAsia="宋体" w:hAnsi="宋体" w:cs="宋体" w:hint="eastAsia"/>
                <w:sz w:val="18"/>
                <w:szCs w:val="18"/>
              </w:rPr>
              <w:t>Apple/苹果</w:t>
            </w:r>
          </w:p>
          <w:p w14:paraId="39C6265D" w14:textId="58128F43" w:rsidR="003E3352" w:rsidRDefault="00CA3ED1" w:rsidP="00181151">
            <w:pPr>
              <w:widowControl/>
              <w:spacing w:line="360" w:lineRule="auto"/>
              <w:rPr>
                <w:rFonts w:ascii="Times New Roman" w:eastAsia="宋体" w:hAnsi="Times New Roman" w:cs="Times New Roman"/>
                <w:sz w:val="20"/>
                <w:szCs w:val="24"/>
              </w:rPr>
            </w:pPr>
            <w:r w:rsidRPr="00FC3750">
              <w:rPr>
                <w:rFonts w:ascii="宋体" w:eastAsia="宋体" w:hAnsi="宋体" w:cs="宋体" w:hint="eastAsia"/>
                <w:sz w:val="18"/>
                <w:szCs w:val="18"/>
              </w:rPr>
              <w:t>MacBook Pro</w:t>
            </w:r>
            <w:bookmarkStart w:id="0" w:name="_GoBack"/>
            <w:bookmarkEnd w:id="0"/>
          </w:p>
        </w:tc>
        <w:tc>
          <w:tcPr>
            <w:tcW w:w="4111" w:type="dxa"/>
            <w:vAlign w:val="center"/>
          </w:tcPr>
          <w:p w14:paraId="78AFCC83" w14:textId="760699DA" w:rsidR="00963755" w:rsidRPr="00312844" w:rsidRDefault="00CA3ED1" w:rsidP="00CB1C4E">
            <w:pPr>
              <w:widowControl/>
              <w:spacing w:line="360" w:lineRule="auto"/>
              <w:rPr>
                <w:rFonts w:ascii="宋体" w:eastAsia="宋体" w:hAnsi="宋体" w:cs="宋体"/>
                <w:sz w:val="18"/>
                <w:szCs w:val="18"/>
              </w:rPr>
            </w:pPr>
            <w:r w:rsidRPr="00CA3ED1">
              <w:rPr>
                <w:rFonts w:ascii="宋体" w:eastAsia="宋体" w:hAnsi="宋体" w:cs="宋体"/>
                <w:sz w:val="18"/>
                <w:szCs w:val="18"/>
              </w:rPr>
              <w:t>M5 Max 芯片</w:t>
            </w:r>
            <w:r>
              <w:rPr>
                <w:rFonts w:ascii="宋体" w:eastAsia="宋体" w:hAnsi="宋体" w:cs="宋体" w:hint="eastAsia"/>
                <w:sz w:val="18"/>
                <w:szCs w:val="18"/>
              </w:rPr>
              <w:t>/</w:t>
            </w:r>
            <w:r>
              <w:t xml:space="preserve"> </w:t>
            </w:r>
            <w:r w:rsidRPr="00CA3ED1">
              <w:rPr>
                <w:rFonts w:ascii="宋体" w:eastAsia="宋体" w:hAnsi="宋体" w:cs="宋体"/>
                <w:sz w:val="18"/>
                <w:szCs w:val="18"/>
              </w:rPr>
              <w:t>18核中央处理器、40核图形处理器、16核神经网络引擎</w:t>
            </w:r>
            <w:r>
              <w:rPr>
                <w:rFonts w:ascii="宋体" w:eastAsia="宋体" w:hAnsi="宋体" w:cs="宋体" w:hint="eastAsia"/>
                <w:sz w:val="18"/>
                <w:szCs w:val="18"/>
              </w:rPr>
              <w:t>/</w:t>
            </w:r>
            <w:r w:rsidRPr="00CA3ED1">
              <w:rPr>
                <w:rFonts w:ascii="宋体" w:eastAsia="宋体" w:hAnsi="宋体" w:cs="宋体"/>
                <w:sz w:val="18"/>
                <w:szCs w:val="18"/>
              </w:rPr>
              <w:t>64GB统一内存</w:t>
            </w:r>
            <w:r>
              <w:rPr>
                <w:rFonts w:ascii="宋体" w:eastAsia="宋体" w:hAnsi="宋体" w:cs="宋体" w:hint="eastAsia"/>
                <w:sz w:val="18"/>
                <w:szCs w:val="18"/>
              </w:rPr>
              <w:t>/</w:t>
            </w:r>
            <w:r w:rsidRPr="00CA3ED1">
              <w:rPr>
                <w:rFonts w:ascii="宋体" w:eastAsia="宋体" w:hAnsi="宋体" w:cs="宋体"/>
                <w:sz w:val="18"/>
                <w:szCs w:val="18"/>
              </w:rPr>
              <w:t>4TB固态硬盘</w:t>
            </w:r>
            <w:r>
              <w:rPr>
                <w:rFonts w:ascii="宋体" w:eastAsia="宋体" w:hAnsi="宋体" w:cs="宋体" w:hint="eastAsia"/>
                <w:sz w:val="18"/>
                <w:szCs w:val="18"/>
              </w:rPr>
              <w:t>/</w:t>
            </w:r>
            <w:r w:rsidRPr="00CA3ED1">
              <w:rPr>
                <w:rFonts w:ascii="宋体" w:eastAsia="宋体" w:hAnsi="宋体" w:cs="宋体" w:hint="eastAsia"/>
                <w:sz w:val="18"/>
                <w:szCs w:val="18"/>
              </w:rPr>
              <w:t>纳米纹理显示屏</w:t>
            </w:r>
            <w:r>
              <w:rPr>
                <w:rFonts w:ascii="宋体" w:eastAsia="宋体" w:hAnsi="宋体" w:cs="宋体" w:hint="eastAsia"/>
                <w:sz w:val="18"/>
                <w:szCs w:val="18"/>
              </w:rPr>
              <w:t>/</w:t>
            </w:r>
            <w:r w:rsidRPr="00CA3ED1">
              <w:rPr>
                <w:rFonts w:ascii="宋体" w:eastAsia="宋体" w:hAnsi="宋体" w:cs="宋体"/>
                <w:sz w:val="18"/>
                <w:szCs w:val="18"/>
              </w:rPr>
              <w:t>140WUSB-C电源适配器</w:t>
            </w:r>
            <w:r>
              <w:rPr>
                <w:rFonts w:ascii="宋体" w:eastAsia="宋体" w:hAnsi="宋体" w:cs="宋体" w:hint="eastAsia"/>
                <w:sz w:val="18"/>
                <w:szCs w:val="18"/>
              </w:rPr>
              <w:t>/</w:t>
            </w:r>
            <w:proofErr w:type="gramStart"/>
            <w:r w:rsidRPr="00CA3ED1">
              <w:rPr>
                <w:rFonts w:ascii="宋体" w:eastAsia="宋体" w:hAnsi="宋体" w:cs="宋体" w:hint="eastAsia"/>
                <w:sz w:val="18"/>
                <w:szCs w:val="18"/>
              </w:rPr>
              <w:t>背光妙控键盘</w:t>
            </w:r>
            <w:proofErr w:type="gramEnd"/>
            <w:r w:rsidRPr="00CA3ED1">
              <w:rPr>
                <w:rFonts w:ascii="宋体" w:eastAsia="宋体" w:hAnsi="宋体" w:cs="宋体"/>
                <w:sz w:val="18"/>
                <w:szCs w:val="18"/>
              </w:rPr>
              <w:t>(带有触控ID)-中文(拼音)</w:t>
            </w:r>
            <w:r>
              <w:rPr>
                <w:rFonts w:ascii="宋体" w:eastAsia="宋体" w:hAnsi="宋体" w:cs="宋体"/>
                <w:sz w:val="18"/>
                <w:szCs w:val="18"/>
              </w:rPr>
              <w:t>/</w:t>
            </w:r>
            <w:r>
              <w:rPr>
                <w:rFonts w:hint="eastAsia"/>
              </w:rPr>
              <w:t xml:space="preserve"> </w:t>
            </w:r>
            <w:r w:rsidRPr="00CA3ED1">
              <w:rPr>
                <w:rFonts w:ascii="宋体" w:eastAsia="宋体" w:hAnsi="宋体" w:cs="宋体" w:hint="eastAsia"/>
                <w:sz w:val="18"/>
                <w:szCs w:val="18"/>
              </w:rPr>
              <w:t>三个雷</w:t>
            </w:r>
            <w:proofErr w:type="gramStart"/>
            <w:r w:rsidRPr="00CA3ED1">
              <w:rPr>
                <w:rFonts w:ascii="宋体" w:eastAsia="宋体" w:hAnsi="宋体" w:cs="宋体" w:hint="eastAsia"/>
                <w:sz w:val="18"/>
                <w:szCs w:val="18"/>
              </w:rPr>
              <w:t>雳</w:t>
            </w:r>
            <w:proofErr w:type="gramEnd"/>
            <w:r w:rsidRPr="00CA3ED1">
              <w:rPr>
                <w:rFonts w:ascii="宋体" w:eastAsia="宋体" w:hAnsi="宋体" w:cs="宋体"/>
                <w:sz w:val="18"/>
                <w:szCs w:val="18"/>
              </w:rPr>
              <w:t>5端口、一个MagSafe3端口、一个3.5毫米</w:t>
            </w:r>
            <w:r w:rsidRPr="00CA3ED1">
              <w:rPr>
                <w:rFonts w:ascii="宋体" w:eastAsia="宋体" w:hAnsi="宋体" w:cs="宋体" w:hint="eastAsia"/>
                <w:sz w:val="18"/>
                <w:szCs w:val="18"/>
              </w:rPr>
              <w:t>耳机插孔、一个</w:t>
            </w:r>
            <w:r w:rsidRPr="00CA3ED1">
              <w:rPr>
                <w:rFonts w:ascii="宋体" w:eastAsia="宋体" w:hAnsi="宋体" w:cs="宋体"/>
                <w:sz w:val="18"/>
                <w:szCs w:val="18"/>
              </w:rPr>
              <w:t>HDMI端口、一个SDXC卡插槽</w:t>
            </w:r>
            <w:r>
              <w:rPr>
                <w:rFonts w:ascii="宋体" w:eastAsia="宋体" w:hAnsi="宋体" w:cs="宋体" w:hint="eastAsia"/>
                <w:sz w:val="18"/>
                <w:szCs w:val="18"/>
              </w:rPr>
              <w:t>/</w:t>
            </w:r>
            <w:r w:rsidRPr="00CA3ED1">
              <w:rPr>
                <w:rFonts w:ascii="宋体" w:eastAsia="宋体" w:hAnsi="宋体" w:cs="宋体" w:hint="eastAsia"/>
                <w:sz w:val="18"/>
                <w:szCs w:val="18"/>
              </w:rPr>
              <w:t>支持最多四台外接显示器</w:t>
            </w:r>
            <w:r w:rsidR="00DB46EA" w:rsidRPr="00312844">
              <w:rPr>
                <w:rFonts w:ascii="宋体" w:eastAsia="宋体" w:hAnsi="宋体" w:cs="宋体" w:hint="eastAsia"/>
                <w:sz w:val="18"/>
                <w:szCs w:val="18"/>
              </w:rPr>
              <w:t>/</w:t>
            </w:r>
            <w:proofErr w:type="spellStart"/>
            <w:r w:rsidR="00963755" w:rsidRPr="00312844">
              <w:rPr>
                <w:rFonts w:ascii="宋体" w:eastAsia="宋体" w:hAnsi="宋体" w:cs="宋体"/>
                <w:sz w:val="18"/>
                <w:szCs w:val="18"/>
              </w:rPr>
              <w:t>mysql</w:t>
            </w:r>
            <w:proofErr w:type="spellEnd"/>
            <w:r w:rsidR="00963755" w:rsidRPr="00312844">
              <w:rPr>
                <w:rFonts w:ascii="宋体" w:eastAsia="宋体" w:hAnsi="宋体" w:cs="宋体"/>
                <w:sz w:val="18"/>
                <w:szCs w:val="18"/>
              </w:rPr>
              <w:t>/oracle/ Adobe</w:t>
            </w:r>
            <w:r w:rsidR="00963755" w:rsidRPr="00312844">
              <w:rPr>
                <w:rFonts w:ascii="宋体" w:eastAsia="宋体" w:hAnsi="宋体" w:cs="宋体" w:hint="eastAsia"/>
                <w:sz w:val="18"/>
                <w:szCs w:val="18"/>
              </w:rPr>
              <w:t>全家桶</w:t>
            </w:r>
            <w:r w:rsidR="00963755" w:rsidRPr="00312844">
              <w:rPr>
                <w:rFonts w:ascii="宋体" w:eastAsia="宋体" w:hAnsi="宋体" w:cs="宋体"/>
                <w:sz w:val="18"/>
                <w:szCs w:val="18"/>
              </w:rPr>
              <w:t xml:space="preserve">/ </w:t>
            </w:r>
            <w:r w:rsidR="00DB46EA" w:rsidRPr="00312844">
              <w:rPr>
                <w:rFonts w:ascii="宋体" w:eastAsia="宋体" w:hAnsi="宋体" w:cs="宋体"/>
                <w:sz w:val="18"/>
                <w:szCs w:val="18"/>
              </w:rPr>
              <w:t>Office</w:t>
            </w:r>
            <w:r w:rsidR="00DB46EA" w:rsidRPr="00312844">
              <w:rPr>
                <w:rFonts w:ascii="宋体" w:eastAsia="宋体" w:hAnsi="宋体" w:cs="宋体" w:hint="eastAsia"/>
                <w:sz w:val="18"/>
                <w:szCs w:val="18"/>
              </w:rPr>
              <w:t>含云存储扩容功能</w:t>
            </w:r>
            <w:r w:rsidR="00DB46EA" w:rsidRPr="00312844">
              <w:rPr>
                <w:rFonts w:ascii="MS Gothic" w:eastAsia="MS Gothic" w:hAnsi="MS Gothic" w:cs="MS Gothic" w:hint="eastAsia"/>
                <w:sz w:val="18"/>
                <w:szCs w:val="18"/>
              </w:rPr>
              <w:t>‌</w:t>
            </w:r>
            <w:r w:rsidR="00DB46EA" w:rsidRPr="00312844">
              <w:rPr>
                <w:rFonts w:ascii="宋体" w:eastAsia="宋体" w:hAnsi="宋体" w:cs="宋体"/>
                <w:sz w:val="18"/>
                <w:szCs w:val="18"/>
              </w:rPr>
              <w:t>license</w:t>
            </w:r>
            <w:r w:rsidR="00DB46EA" w:rsidRPr="00312844">
              <w:rPr>
                <w:rFonts w:ascii="MS Gothic" w:eastAsia="MS Gothic" w:hAnsi="MS Gothic" w:cs="MS Gothic" w:hint="eastAsia"/>
                <w:sz w:val="18"/>
                <w:szCs w:val="18"/>
              </w:rPr>
              <w:t>‌</w:t>
            </w:r>
            <w:r w:rsidR="00963755" w:rsidRPr="00312844">
              <w:rPr>
                <w:rFonts w:ascii="宋体" w:eastAsia="宋体" w:hAnsi="宋体" w:cs="宋体"/>
                <w:sz w:val="18"/>
                <w:szCs w:val="18"/>
              </w:rPr>
              <w:t>/ OFD</w:t>
            </w:r>
            <w:r w:rsidR="00DB46EA" w:rsidRPr="00312844">
              <w:rPr>
                <w:rFonts w:ascii="宋体" w:eastAsia="宋体" w:hAnsi="宋体" w:cs="宋体"/>
                <w:sz w:val="18"/>
                <w:szCs w:val="18"/>
              </w:rPr>
              <w:t>/</w:t>
            </w:r>
          </w:p>
          <w:p w14:paraId="3CBCE3A9" w14:textId="302DFF58" w:rsidR="00B006D6" w:rsidRPr="00963755" w:rsidRDefault="007D1265" w:rsidP="00694D45">
            <w:pPr>
              <w:widowControl/>
              <w:spacing w:line="360" w:lineRule="auto"/>
              <w:rPr>
                <w:rFonts w:ascii="宋体" w:eastAsia="宋体" w:hAnsi="宋体" w:cs="宋体"/>
                <w:szCs w:val="21"/>
              </w:rPr>
            </w:pPr>
            <w:r>
              <w:rPr>
                <w:rFonts w:ascii="宋体" w:eastAsia="宋体" w:hAnsi="宋体" w:cs="宋体" w:hint="eastAsia"/>
                <w:sz w:val="18"/>
                <w:szCs w:val="18"/>
              </w:rPr>
              <w:t>每台设备含乂迅分布式集群高效运维平台V</w:t>
            </w:r>
            <w:r>
              <w:rPr>
                <w:rFonts w:ascii="宋体" w:eastAsia="宋体" w:hAnsi="宋体" w:cs="宋体"/>
                <w:sz w:val="18"/>
                <w:szCs w:val="18"/>
              </w:rPr>
              <w:t>1.0</w:t>
            </w:r>
            <w:r w:rsidR="00963755" w:rsidRPr="00312844">
              <w:rPr>
                <w:rFonts w:ascii="宋体" w:eastAsia="宋体" w:hAnsi="宋体" w:cs="宋体"/>
                <w:sz w:val="18"/>
                <w:szCs w:val="18"/>
              </w:rPr>
              <w:t>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c>
          <w:tcPr>
            <w:tcW w:w="992" w:type="dxa"/>
            <w:vAlign w:val="center"/>
          </w:tcPr>
          <w:p w14:paraId="35769300" w14:textId="7D46F7B9" w:rsidR="003E3352" w:rsidRDefault="00CA3ED1"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49500</w:t>
            </w:r>
          </w:p>
        </w:tc>
        <w:tc>
          <w:tcPr>
            <w:tcW w:w="567" w:type="dxa"/>
            <w:vAlign w:val="center"/>
          </w:tcPr>
          <w:p w14:paraId="20F24137" w14:textId="0DAD3AB0" w:rsidR="003E3352" w:rsidRDefault="00CA3ED1"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2</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3EF2F267" w:rsidR="003E3352" w:rsidRDefault="00CA3ED1"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99000</w:t>
            </w:r>
          </w:p>
        </w:tc>
      </w:tr>
      <w:tr w:rsidR="003E3352" w14:paraId="2344CE04" w14:textId="77777777" w:rsidTr="006E1DF6">
        <w:trPr>
          <w:trHeight w:val="648"/>
        </w:trPr>
        <w:tc>
          <w:tcPr>
            <w:tcW w:w="8081" w:type="dxa"/>
            <w:gridSpan w:val="6"/>
            <w:vAlign w:val="center"/>
          </w:tcPr>
          <w:p w14:paraId="4DB5F412" w14:textId="396CC4C8"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r w:rsidR="001B3D45">
              <w:rPr>
                <w:rFonts w:ascii="Times New Roman" w:eastAsia="宋体" w:hAnsi="Times New Roman" w:cs="Times New Roman" w:hint="eastAsia"/>
                <w:sz w:val="24"/>
                <w:szCs w:val="24"/>
              </w:rPr>
              <w:t>（人民币）</w:t>
            </w:r>
          </w:p>
        </w:tc>
        <w:tc>
          <w:tcPr>
            <w:tcW w:w="992" w:type="dxa"/>
            <w:vAlign w:val="center"/>
          </w:tcPr>
          <w:p w14:paraId="58612E94" w14:textId="7C173D8C" w:rsidR="003E3352" w:rsidRDefault="00CA3ED1" w:rsidP="006E1DF6">
            <w:pPr>
              <w:jc w:val="center"/>
              <w:rPr>
                <w:rFonts w:ascii="Times New Roman" w:eastAsia="宋体" w:hAnsi="Times New Roman" w:cs="Times New Roman"/>
                <w:sz w:val="24"/>
                <w:szCs w:val="24"/>
              </w:rPr>
            </w:pPr>
            <w:r>
              <w:rPr>
                <w:rFonts w:ascii="Times New Roman" w:eastAsia="宋体" w:hAnsi="Times New Roman" w:cs="Times New Roman"/>
                <w:sz w:val="20"/>
                <w:szCs w:val="24"/>
              </w:rPr>
              <w:t>99000</w:t>
            </w:r>
          </w:p>
        </w:tc>
      </w:tr>
    </w:tbl>
    <w:p w14:paraId="422B7A20" w14:textId="5C9FC267" w:rsidR="003755F4" w:rsidRPr="00ED6D6C" w:rsidRDefault="003755F4"/>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lastRenderedPageBreak/>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07323A84"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211679">
              <w:rPr>
                <w:rFonts w:ascii="宋体" w:eastAsia="宋体" w:hAnsi="宋体" w:cs="宋体" w:hint="eastAsia"/>
                <w:bCs/>
                <w:szCs w:val="21"/>
                <w:u w:val="single"/>
              </w:rPr>
              <w:t>三</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D924B8D"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0C751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w:t>
            </w:r>
            <w:r>
              <w:rPr>
                <w:rFonts w:ascii="宋体" w:eastAsia="宋体" w:hAnsi="宋体" w:cs="宋体" w:hint="eastAsia"/>
                <w:bCs/>
                <w:szCs w:val="21"/>
              </w:rPr>
              <w:lastRenderedPageBreak/>
              <w:t>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lastRenderedPageBreak/>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14AAA10B"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w:t>
            </w:r>
            <w:r w:rsidR="00C91C89">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06EBDA29"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w:t>
            </w:r>
            <w:r w:rsidR="00882B80">
              <w:rPr>
                <w:rFonts w:ascii="宋体" w:eastAsia="宋体" w:hAnsi="宋体" w:cs="宋体" w:hint="eastAsia"/>
                <w:szCs w:val="21"/>
              </w:rPr>
              <w:t>及软件部分</w:t>
            </w:r>
            <w:r w:rsidR="007A7713">
              <w:rPr>
                <w:rFonts w:ascii="宋体" w:eastAsia="宋体" w:hAnsi="宋体" w:cs="宋体" w:hint="eastAsia"/>
                <w:szCs w:val="21"/>
              </w:rPr>
              <w:t>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501B5506" w14:textId="7777777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p w14:paraId="439F8F5E" w14:textId="7E3C7F18" w:rsidR="00694D45" w:rsidRDefault="00694D45"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.3</w:t>
            </w:r>
            <w:r w:rsidRPr="009C3758">
              <w:rPr>
                <w:rFonts w:ascii="宋体" w:eastAsia="宋体" w:hAnsi="宋体" w:cs="宋体" w:hint="eastAsia"/>
                <w:szCs w:val="21"/>
              </w:rPr>
              <w:t>提供原厂AI智能调</w:t>
            </w:r>
            <w:proofErr w:type="gramStart"/>
            <w:r w:rsidRPr="009C3758">
              <w:rPr>
                <w:rFonts w:ascii="宋体" w:eastAsia="宋体" w:hAnsi="宋体" w:cs="宋体" w:hint="eastAsia"/>
                <w:szCs w:val="21"/>
              </w:rPr>
              <w:t>优工具</w:t>
            </w:r>
            <w:proofErr w:type="gramEnd"/>
            <w:r w:rsidRPr="009C3758">
              <w:rPr>
                <w:rFonts w:ascii="宋体" w:eastAsia="宋体" w:hAnsi="宋体" w:cs="宋体" w:hint="eastAsia"/>
                <w:szCs w:val="21"/>
              </w:rPr>
              <w:t>,</w:t>
            </w:r>
            <w:r w:rsidRPr="009C3758">
              <w:rPr>
                <w:rFonts w:ascii="宋体" w:eastAsia="宋体" w:hAnsi="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B3F9A" w14:textId="77777777" w:rsidR="00DC64D4" w:rsidRDefault="00DC64D4" w:rsidP="002847A0">
      <w:r>
        <w:separator/>
      </w:r>
    </w:p>
  </w:endnote>
  <w:endnote w:type="continuationSeparator" w:id="0">
    <w:p w14:paraId="6E3D80B0" w14:textId="77777777" w:rsidR="00DC64D4" w:rsidRDefault="00DC64D4"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F6464" w14:textId="77777777" w:rsidR="00DC64D4" w:rsidRDefault="00DC64D4" w:rsidP="002847A0">
      <w:r>
        <w:separator/>
      </w:r>
    </w:p>
  </w:footnote>
  <w:footnote w:type="continuationSeparator" w:id="0">
    <w:p w14:paraId="0BE50B0B" w14:textId="77777777" w:rsidR="00DC64D4" w:rsidRDefault="00DC64D4"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36FCF"/>
    <w:rsid w:val="00041053"/>
    <w:rsid w:val="00067341"/>
    <w:rsid w:val="0008559A"/>
    <w:rsid w:val="00090197"/>
    <w:rsid w:val="000947C9"/>
    <w:rsid w:val="000A0D3E"/>
    <w:rsid w:val="000A1742"/>
    <w:rsid w:val="000A2117"/>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11679"/>
    <w:rsid w:val="002316FA"/>
    <w:rsid w:val="00232B68"/>
    <w:rsid w:val="00241F29"/>
    <w:rsid w:val="002639DE"/>
    <w:rsid w:val="00277C9C"/>
    <w:rsid w:val="002847A0"/>
    <w:rsid w:val="002A035C"/>
    <w:rsid w:val="002A182F"/>
    <w:rsid w:val="002A51F2"/>
    <w:rsid w:val="002D1463"/>
    <w:rsid w:val="002D1E61"/>
    <w:rsid w:val="002F3530"/>
    <w:rsid w:val="00312844"/>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728AB"/>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613F1"/>
    <w:rsid w:val="00782BB1"/>
    <w:rsid w:val="00782FC2"/>
    <w:rsid w:val="007A37B4"/>
    <w:rsid w:val="007A7713"/>
    <w:rsid w:val="007D0524"/>
    <w:rsid w:val="007D0997"/>
    <w:rsid w:val="007D1265"/>
    <w:rsid w:val="007D6115"/>
    <w:rsid w:val="007F2E5F"/>
    <w:rsid w:val="007F5310"/>
    <w:rsid w:val="0080596E"/>
    <w:rsid w:val="00834754"/>
    <w:rsid w:val="00836089"/>
    <w:rsid w:val="008404AE"/>
    <w:rsid w:val="00843B50"/>
    <w:rsid w:val="00870F40"/>
    <w:rsid w:val="00882B80"/>
    <w:rsid w:val="00885B4A"/>
    <w:rsid w:val="008B5505"/>
    <w:rsid w:val="00924785"/>
    <w:rsid w:val="009453AE"/>
    <w:rsid w:val="009615A3"/>
    <w:rsid w:val="00963755"/>
    <w:rsid w:val="009642ED"/>
    <w:rsid w:val="00991D47"/>
    <w:rsid w:val="009C0872"/>
    <w:rsid w:val="009C3758"/>
    <w:rsid w:val="009D6CBD"/>
    <w:rsid w:val="00A20AA6"/>
    <w:rsid w:val="00A2499B"/>
    <w:rsid w:val="00A309DE"/>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01621"/>
    <w:rsid w:val="00C2090A"/>
    <w:rsid w:val="00C2775C"/>
    <w:rsid w:val="00C35167"/>
    <w:rsid w:val="00C35297"/>
    <w:rsid w:val="00C36FF3"/>
    <w:rsid w:val="00C74650"/>
    <w:rsid w:val="00C91C89"/>
    <w:rsid w:val="00CA196E"/>
    <w:rsid w:val="00CA3ED1"/>
    <w:rsid w:val="00CA5EE2"/>
    <w:rsid w:val="00CB1C4E"/>
    <w:rsid w:val="00CB7CCF"/>
    <w:rsid w:val="00CE4922"/>
    <w:rsid w:val="00D10E62"/>
    <w:rsid w:val="00D143E6"/>
    <w:rsid w:val="00D51DB9"/>
    <w:rsid w:val="00D87A85"/>
    <w:rsid w:val="00D927AC"/>
    <w:rsid w:val="00DA1E0A"/>
    <w:rsid w:val="00DA5C1C"/>
    <w:rsid w:val="00DB46EA"/>
    <w:rsid w:val="00DC1743"/>
    <w:rsid w:val="00DC64D4"/>
    <w:rsid w:val="00DE4433"/>
    <w:rsid w:val="00DF529F"/>
    <w:rsid w:val="00E046FE"/>
    <w:rsid w:val="00E1711A"/>
    <w:rsid w:val="00E232CC"/>
    <w:rsid w:val="00E5035D"/>
    <w:rsid w:val="00EB1E94"/>
    <w:rsid w:val="00EC3FE7"/>
    <w:rsid w:val="00EC4B27"/>
    <w:rsid w:val="00ED6D6C"/>
    <w:rsid w:val="00EF1347"/>
    <w:rsid w:val="00EF76BB"/>
    <w:rsid w:val="00F0084A"/>
    <w:rsid w:val="00F31637"/>
    <w:rsid w:val="00F51A94"/>
    <w:rsid w:val="00F53A90"/>
    <w:rsid w:val="00FB0830"/>
    <w:rsid w:val="00FB218B"/>
    <w:rsid w:val="00FC375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 w:type="character" w:styleId="af0">
    <w:name w:val="Hyperlink"/>
    <w:basedOn w:val="a0"/>
    <w:uiPriority w:val="99"/>
    <w:semiHidden/>
    <w:unhideWhenUsed/>
    <w:rsid w:val="00CB1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377</Words>
  <Characters>2155</Characters>
  <Application>Microsoft Office Word</Application>
  <DocSecurity>0</DocSecurity>
  <Lines>17</Lines>
  <Paragraphs>5</Paragraphs>
  <ScaleCrop>false</ScaleCrop>
  <Company>HP Inc.</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252</cp:revision>
  <dcterms:created xsi:type="dcterms:W3CDTF">2025-10-13T06:42:00Z</dcterms:created>
  <dcterms:modified xsi:type="dcterms:W3CDTF">2026-04-21T08:08:00Z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