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移动工作站采购</w:t>
      </w:r>
    </w:p>
    <w:p w14:paraId="1367EF08">
      <w:pPr>
        <w:jc w:val="center"/>
        <w:rPr>
          <w:b/>
          <w:sz w:val="32"/>
          <w:szCs w:val="32"/>
        </w:rPr>
      </w:pPr>
      <w:r>
        <w:rPr>
          <w:rFonts w:hint="eastAsia"/>
          <w:b/>
          <w:sz w:val="32"/>
          <w:szCs w:val="32"/>
        </w:rPr>
        <w:t>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u w:val="single"/>
        </w:rPr>
        <w:t xml:space="preserve"> </w:t>
      </w:r>
      <w:r>
        <w:rPr>
          <w:rFonts w:hint="eastAsia" w:ascii="仿宋" w:hAnsi="仿宋" w:eastAsia="仿宋"/>
          <w:sz w:val="28"/>
          <w:szCs w:val="28"/>
          <w:u w:val="single"/>
        </w:rPr>
        <w:t>1</w:t>
      </w:r>
      <w:r>
        <w:rPr>
          <w:rFonts w:ascii="仿宋" w:hAnsi="仿宋" w:eastAsia="仿宋"/>
          <w:sz w:val="28"/>
          <w:szCs w:val="28"/>
          <w:u w:val="single"/>
        </w:rPr>
        <w:t xml:space="preserve"> </w:t>
      </w:r>
      <w:r>
        <w:rPr>
          <w:rFonts w:hint="eastAsia" w:ascii="仿宋" w:hAnsi="仿宋" w:eastAsia="仿宋"/>
          <w:sz w:val="28"/>
          <w:szCs w:val="28"/>
        </w:rPr>
        <w:t>台高性能工作站，预算总价为</w:t>
      </w:r>
      <w:r>
        <w:rPr>
          <w:rFonts w:hint="eastAsia" w:ascii="仿宋" w:hAnsi="仿宋" w:eastAsia="仿宋"/>
          <w:sz w:val="28"/>
          <w:szCs w:val="28"/>
          <w:u w:val="single"/>
          <w:lang w:val="en-US" w:eastAsia="zh-CN"/>
        </w:rPr>
        <w:t xml:space="preserve"> 36000</w:t>
      </w:r>
      <w:bookmarkStart w:id="1" w:name="_GoBack"/>
      <w:bookmarkEnd w:id="1"/>
      <w:r>
        <w:rPr>
          <w:rFonts w:hint="eastAsia" w:ascii="仿宋" w:hAnsi="仿宋" w:eastAsia="仿宋"/>
          <w:sz w:val="28"/>
          <w:szCs w:val="28"/>
          <w:u w:val="single"/>
          <w:lang w:val="en-US" w:eastAsia="zh-CN"/>
        </w:rPr>
        <w:t xml:space="preserve"> </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239"/>
        <w:gridCol w:w="4461"/>
        <w:gridCol w:w="870"/>
        <w:gridCol w:w="555"/>
        <w:gridCol w:w="615"/>
        <w:gridCol w:w="728"/>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05"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239"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46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870"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55"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615"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728"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05" w:type="dxa"/>
            <w:vAlign w:val="center"/>
          </w:tcPr>
          <w:p w14:paraId="22CD51C1">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239" w:type="dxa"/>
            <w:vAlign w:val="center"/>
          </w:tcPr>
          <w:p w14:paraId="39C6265D">
            <w:pPr>
              <w:widowControl/>
              <w:spacing w:line="360" w:lineRule="auto"/>
              <w:rPr>
                <w:rFonts w:ascii="Times New Roman" w:hAnsi="Times New Roman" w:eastAsia="宋体" w:cs="Times New Roman"/>
                <w:sz w:val="20"/>
                <w:szCs w:val="24"/>
              </w:rPr>
            </w:pPr>
            <w:r>
              <w:rPr>
                <w:rFonts w:hint="eastAsia" w:ascii="等线" w:hAnsi="等线" w:eastAsia="等线" w:cs="等线"/>
                <w:lang w:val="en-US" w:eastAsia="zh-CN"/>
              </w:rPr>
              <w:t>英伟达DGX Spark移动工作站</w:t>
            </w:r>
          </w:p>
        </w:tc>
        <w:tc>
          <w:tcPr>
            <w:tcW w:w="4461" w:type="dxa"/>
            <w:vAlign w:val="center"/>
          </w:tcPr>
          <w:p w14:paraId="775BFD4A">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rPr>
              <w:t>技术规格</w:t>
            </w:r>
            <w:r>
              <w:rPr>
                <w:rFonts w:hint="eastAsia" w:ascii="宋体" w:hAnsi="宋体" w:eastAsia="宋体" w:cs="宋体"/>
                <w:sz w:val="18"/>
                <w:szCs w:val="18"/>
                <w:lang w:eastAsia="zh-CN"/>
              </w:rPr>
              <w:t>：</w:t>
            </w:r>
          </w:p>
          <w:p w14:paraId="4F2C4C8C">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rPr>
              <w:t>架构</w:t>
            </w:r>
            <w:r>
              <w:rPr>
                <w:rFonts w:hint="eastAsia" w:ascii="宋体" w:hAnsi="宋体" w:eastAsia="宋体" w:cs="宋体"/>
                <w:sz w:val="18"/>
                <w:szCs w:val="18"/>
                <w:lang w:eastAsia="zh-CN"/>
              </w:rPr>
              <w:t>：NVIDlAGraceBlackwell</w:t>
            </w:r>
          </w:p>
          <w:p w14:paraId="490DE81F">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GPU：NVIDIABlackwell架构</w:t>
            </w:r>
          </w:p>
          <w:p w14:paraId="1332B997">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CPU:20 coreArm,10Cortex-x925+10Cortex-A725Arm</w:t>
            </w:r>
            <w:r>
              <w:rPr>
                <w:rFonts w:hint="eastAsia" w:ascii="宋体" w:hAnsi="宋体" w:eastAsia="宋体" w:cs="宋体"/>
                <w:sz w:val="18"/>
                <w:szCs w:val="18"/>
                <w:lang w:eastAsia="zh-CN"/>
              </w:rPr>
              <w:br w:type="textWrapping"/>
            </w:r>
            <w:r>
              <w:rPr>
                <w:rFonts w:hint="eastAsia" w:ascii="宋体" w:hAnsi="宋体" w:eastAsia="宋体" w:cs="宋体"/>
                <w:sz w:val="18"/>
                <w:szCs w:val="18"/>
                <w:lang w:eastAsia="zh-CN"/>
              </w:rPr>
              <w:t>CUDA核心：NVIDIA Blackwell Generation</w:t>
            </w:r>
            <w:r>
              <w:rPr>
                <w:rFonts w:hint="eastAsia" w:ascii="宋体" w:hAnsi="宋体" w:eastAsia="宋体" w:cs="宋体"/>
                <w:sz w:val="18"/>
                <w:szCs w:val="18"/>
                <w:lang w:eastAsia="zh-CN"/>
              </w:rPr>
              <w:br w:type="textWrapping"/>
            </w:r>
            <w:r>
              <w:rPr>
                <w:rFonts w:hint="eastAsia" w:ascii="宋体" w:hAnsi="宋体" w:eastAsia="宋体" w:cs="宋体"/>
                <w:sz w:val="18"/>
                <w:szCs w:val="18"/>
                <w:lang w:eastAsia="zh-CN"/>
              </w:rPr>
              <w:t>TensorCore:第5代   RT Core核心:第4代</w:t>
            </w:r>
          </w:p>
          <w:p w14:paraId="337FF39A">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TensorPerformance:1 PFLOP</w:t>
            </w:r>
          </w:p>
          <w:p w14:paraId="09137443">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系统内存:128GBLPDDR5x，一致性统一寻址系统内存</w:t>
            </w:r>
          </w:p>
          <w:p w14:paraId="0AA0446A">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内存接口:256-bit   内存位宽:高达273GB/秒</w:t>
            </w:r>
          </w:p>
          <w:p w14:paraId="4CA042B2">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存储:4TB NVME.M2 with self-encryption</w:t>
            </w:r>
          </w:p>
          <w:p w14:paraId="1A9F851E">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USB:4个USB Type C    以太网；1个RJ-45接口10GbE</w:t>
            </w:r>
          </w:p>
          <w:p w14:paraId="3DF470CA">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网卡：ConnectX-7NIC@200Gbps  Wi-Fi：WiFi7</w:t>
            </w:r>
          </w:p>
          <w:p w14:paraId="34D68763">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蓝牙：BT5.4W/LE   音频输出:HDMI多通道音频输出</w:t>
            </w:r>
          </w:p>
          <w:p w14:paraId="7B993C82">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功耗:240W    显示器接口:1个 HDMI2.la    NVENCINVDEC：xilx1</w:t>
            </w:r>
          </w:p>
          <w:p w14:paraId="638A24DA">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操作系统：NVIDIADGXTMOS    尺寸：150mmLx150mmWx50.5mmH</w:t>
            </w:r>
          </w:p>
          <w:p w14:paraId="02E18B2D">
            <w:pPr>
              <w:widowControl/>
              <w:spacing w:line="360" w:lineRule="auto"/>
              <w:rPr>
                <w:rFonts w:hint="eastAsia" w:ascii="宋体" w:hAnsi="宋体" w:eastAsia="宋体" w:cs="宋体"/>
                <w:sz w:val="18"/>
                <w:szCs w:val="18"/>
                <w:lang w:eastAsia="zh-CN"/>
              </w:rPr>
            </w:pPr>
            <w:r>
              <w:rPr>
                <w:rFonts w:hint="eastAsia" w:ascii="宋体" w:hAnsi="宋体" w:eastAsia="宋体" w:cs="宋体"/>
                <w:sz w:val="18"/>
                <w:szCs w:val="18"/>
                <w:lang w:eastAsia="zh-CN"/>
              </w:rPr>
              <w:t>重重：1.2 kg</w:t>
            </w:r>
          </w:p>
          <w:p w14:paraId="3CBCE3A9">
            <w:pPr>
              <w:widowControl/>
              <w:spacing w:line="360" w:lineRule="auto"/>
              <w:rPr>
                <w:rFonts w:hint="eastAsia" w:ascii="宋体" w:hAnsi="宋体" w:eastAsia="宋体" w:cs="宋体"/>
                <w:sz w:val="18"/>
                <w:szCs w:val="18"/>
                <w:lang w:eastAsia="zh-CN"/>
              </w:rPr>
            </w:pPr>
          </w:p>
        </w:tc>
        <w:tc>
          <w:tcPr>
            <w:tcW w:w="870" w:type="dxa"/>
            <w:vAlign w:val="center"/>
          </w:tcPr>
          <w:p w14:paraId="35769300">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36000</w:t>
            </w:r>
          </w:p>
        </w:tc>
        <w:tc>
          <w:tcPr>
            <w:tcW w:w="555" w:type="dxa"/>
            <w:vAlign w:val="center"/>
          </w:tcPr>
          <w:p w14:paraId="20F24137">
            <w:pPr>
              <w:jc w:val="cente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1</w:t>
            </w:r>
          </w:p>
        </w:tc>
        <w:tc>
          <w:tcPr>
            <w:tcW w:w="615" w:type="dxa"/>
            <w:vAlign w:val="center"/>
          </w:tcPr>
          <w:p w14:paraId="08BCA922">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728" w:type="dxa"/>
            <w:vAlign w:val="center"/>
          </w:tcPr>
          <w:p w14:paraId="48B14223">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36000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45"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r>
              <w:rPr>
                <w:rFonts w:hint="eastAsia" w:ascii="Times New Roman" w:hAnsi="Times New Roman" w:eastAsia="宋体" w:cs="Times New Roman"/>
                <w:sz w:val="24"/>
                <w:szCs w:val="24"/>
              </w:rPr>
              <w:t>（人民币）</w:t>
            </w:r>
          </w:p>
        </w:tc>
        <w:tc>
          <w:tcPr>
            <w:tcW w:w="728" w:type="dxa"/>
            <w:vAlign w:val="center"/>
          </w:tcPr>
          <w:p w14:paraId="58612E94">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0"/>
                <w:szCs w:val="24"/>
                <w:lang w:val="en-US" w:eastAsia="zh-CN"/>
              </w:rPr>
              <w:t>36000</w:t>
            </w:r>
          </w:p>
        </w:tc>
      </w:tr>
    </w:tbl>
    <w:p w14:paraId="422B7A20"/>
    <w:p w14:paraId="18F901F5">
      <w:pPr>
        <w:rPr>
          <w:highlight w:val="yellow"/>
        </w:rPr>
      </w:pPr>
    </w:p>
    <w:tbl>
      <w:tblPr>
        <w:tblStyle w:val="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30"/>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443"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04"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830"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3C25F767">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59B0F05C">
            <w:pPr>
              <w:widowControl/>
              <w:spacing w:line="360" w:lineRule="auto"/>
              <w:rPr>
                <w:rFonts w:ascii="宋体" w:hAnsi="宋体" w:eastAsia="宋体" w:cs="宋体"/>
                <w:b/>
                <w:szCs w:val="21"/>
              </w:rPr>
            </w:pPr>
            <w:r>
              <w:rPr>
                <w:rFonts w:ascii="宋体" w:hAnsi="宋体" w:eastAsia="宋体" w:cs="宋体"/>
                <w:szCs w:val="21"/>
              </w:rPr>
              <w:t>2</w:t>
            </w:r>
          </w:p>
        </w:tc>
        <w:tc>
          <w:tcPr>
            <w:tcW w:w="1830"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1</w:t>
            </w:r>
            <w:r>
              <w:rPr>
                <w:rFonts w:hint="eastAsia" w:ascii="宋体" w:hAnsi="宋体" w:eastAsia="宋体" w:cs="宋体"/>
                <w:bCs/>
                <w:szCs w:val="21"/>
                <w:u w:val="single"/>
              </w:rPr>
              <w:t>年</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FB3498D">
            <w:pPr>
              <w:widowControl/>
              <w:spacing w:line="360" w:lineRule="auto"/>
              <w:rPr>
                <w:rFonts w:ascii="宋体" w:hAnsi="宋体" w:eastAsia="宋体" w:cs="宋体"/>
                <w:b/>
                <w:szCs w:val="21"/>
              </w:rPr>
            </w:pPr>
          </w:p>
        </w:tc>
        <w:tc>
          <w:tcPr>
            <w:tcW w:w="1830"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7"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858"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w:t>
            </w:r>
            <w:r>
              <w:rPr>
                <w:rFonts w:hint="eastAsia" w:ascii="宋体" w:hAnsi="宋体" w:eastAsia="宋体" w:cs="宋体"/>
                <w:szCs w:val="21"/>
                <w:lang w:val="en-US" w:eastAsia="zh-CN"/>
              </w:rPr>
              <w:t>中标</w:t>
            </w:r>
            <w:r>
              <w:rPr>
                <w:rFonts w:hint="eastAsia" w:ascii="宋体" w:hAnsi="宋体" w:eastAsia="宋体" w:cs="宋体"/>
                <w:szCs w:val="21"/>
              </w:rPr>
              <w:t>之日起</w:t>
            </w:r>
            <w:r>
              <w:rPr>
                <w:rFonts w:hint="eastAsia" w:ascii="宋体" w:hAnsi="宋体" w:eastAsia="宋体" w:cs="宋体"/>
                <w:b/>
                <w:bCs/>
                <w:color w:val="FF0000"/>
                <w:szCs w:val="21"/>
                <w:u w:val="single"/>
                <w:lang w:val="en-US" w:eastAsia="zh-CN"/>
              </w:rPr>
              <w:t>1</w:t>
            </w:r>
            <w:r>
              <w:rPr>
                <w:rFonts w:hint="eastAsia" w:ascii="宋体" w:hAnsi="宋体" w:eastAsia="宋体" w:cs="宋体"/>
                <w:szCs w:val="21"/>
                <w:lang w:val="en-US" w:eastAsia="zh-CN"/>
              </w:rPr>
              <w:t>个工作日内</w:t>
            </w:r>
            <w:r>
              <w:rPr>
                <w:rFonts w:hint="eastAsia" w:ascii="宋体" w:hAnsi="宋体" w:eastAsia="宋体" w:cs="宋体"/>
                <w:szCs w:val="21"/>
              </w:rPr>
              <w:t>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2A0E42EC">
            <w:pPr>
              <w:widowControl/>
              <w:spacing w:line="360" w:lineRule="auto"/>
              <w:jc w:val="center"/>
              <w:rPr>
                <w:rFonts w:ascii="宋体" w:hAnsi="宋体" w:eastAsia="宋体" w:cs="宋体"/>
                <w:b/>
                <w:szCs w:val="21"/>
              </w:rPr>
            </w:pPr>
          </w:p>
        </w:tc>
        <w:tc>
          <w:tcPr>
            <w:tcW w:w="1858"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768421DB">
            <w:pPr>
              <w:widowControl/>
              <w:spacing w:line="360" w:lineRule="auto"/>
              <w:jc w:val="center"/>
              <w:rPr>
                <w:rFonts w:ascii="宋体" w:hAnsi="宋体" w:eastAsia="宋体" w:cs="宋体"/>
                <w:b/>
                <w:szCs w:val="21"/>
              </w:rPr>
            </w:pPr>
          </w:p>
        </w:tc>
        <w:tc>
          <w:tcPr>
            <w:tcW w:w="1858"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379B3183">
            <w:pPr>
              <w:widowControl/>
              <w:spacing w:line="360" w:lineRule="auto"/>
              <w:jc w:val="center"/>
              <w:rPr>
                <w:rFonts w:ascii="宋体" w:hAnsi="宋体" w:eastAsia="宋体" w:cs="宋体"/>
                <w:b/>
                <w:szCs w:val="21"/>
              </w:rPr>
            </w:pPr>
          </w:p>
        </w:tc>
        <w:tc>
          <w:tcPr>
            <w:tcW w:w="1858"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4"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858"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w:t>
            </w:r>
            <w:r>
              <w:rPr>
                <w:rFonts w:ascii="宋体" w:hAnsi="宋体" w:eastAsia="宋体" w:cs="宋体"/>
                <w:szCs w:val="21"/>
              </w:rPr>
              <w:t>3</w:t>
            </w:r>
            <w:r>
              <w:rPr>
                <w:rFonts w:hint="eastAsia" w:ascii="宋体" w:hAnsi="宋体" w:eastAsia="宋体" w:cs="宋体"/>
                <w:szCs w:val="21"/>
              </w:rPr>
              <w:t>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04" w:type="dxa"/>
            <w:vMerge w:val="continue"/>
            <w:vAlign w:val="center"/>
          </w:tcPr>
          <w:p w14:paraId="320D5DCD">
            <w:pPr>
              <w:widowControl/>
              <w:spacing w:line="360" w:lineRule="auto"/>
              <w:jc w:val="center"/>
              <w:rPr>
                <w:rFonts w:ascii="宋体" w:hAnsi="宋体" w:eastAsia="宋体" w:cs="宋体"/>
                <w:b/>
                <w:szCs w:val="21"/>
              </w:rPr>
            </w:pPr>
          </w:p>
        </w:tc>
        <w:tc>
          <w:tcPr>
            <w:tcW w:w="1858"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21EFDC4A">
            <w:pPr>
              <w:widowControl/>
              <w:spacing w:line="360" w:lineRule="auto"/>
              <w:jc w:val="center"/>
              <w:rPr>
                <w:rFonts w:ascii="宋体" w:hAnsi="宋体" w:eastAsia="宋体" w:cs="宋体"/>
                <w:b/>
                <w:szCs w:val="21"/>
              </w:rPr>
            </w:pPr>
          </w:p>
        </w:tc>
        <w:tc>
          <w:tcPr>
            <w:tcW w:w="1858"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6AD9A6">
            <w:pPr>
              <w:widowControl/>
              <w:spacing w:line="360" w:lineRule="auto"/>
              <w:jc w:val="center"/>
              <w:rPr>
                <w:rFonts w:ascii="宋体" w:hAnsi="宋体" w:eastAsia="宋体" w:cs="宋体"/>
                <w:b/>
                <w:szCs w:val="21"/>
              </w:rPr>
            </w:pPr>
          </w:p>
        </w:tc>
        <w:tc>
          <w:tcPr>
            <w:tcW w:w="1858"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091E3043">
            <w:pPr>
              <w:widowControl/>
              <w:spacing w:line="360" w:lineRule="auto"/>
              <w:jc w:val="center"/>
              <w:rPr>
                <w:rFonts w:ascii="宋体" w:hAnsi="宋体" w:eastAsia="宋体" w:cs="宋体"/>
                <w:b/>
                <w:szCs w:val="21"/>
              </w:rPr>
            </w:pPr>
          </w:p>
        </w:tc>
        <w:tc>
          <w:tcPr>
            <w:tcW w:w="1858"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1334D51">
            <w:pPr>
              <w:widowControl/>
              <w:spacing w:line="360" w:lineRule="auto"/>
              <w:jc w:val="center"/>
              <w:rPr>
                <w:rFonts w:ascii="宋体" w:hAnsi="宋体" w:eastAsia="宋体" w:cs="宋体"/>
                <w:b/>
                <w:szCs w:val="21"/>
              </w:rPr>
            </w:pPr>
          </w:p>
        </w:tc>
        <w:tc>
          <w:tcPr>
            <w:tcW w:w="1858"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04" w:type="dxa"/>
            <w:vMerge w:val="continue"/>
            <w:vAlign w:val="center"/>
          </w:tcPr>
          <w:p w14:paraId="3856AAE4">
            <w:pPr>
              <w:widowControl/>
              <w:spacing w:line="360" w:lineRule="auto"/>
              <w:jc w:val="center"/>
              <w:rPr>
                <w:rFonts w:ascii="宋体" w:hAnsi="宋体" w:eastAsia="宋体" w:cs="宋体"/>
                <w:b/>
                <w:szCs w:val="21"/>
              </w:rPr>
            </w:pPr>
          </w:p>
        </w:tc>
        <w:tc>
          <w:tcPr>
            <w:tcW w:w="1858"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vAlign w:val="center"/>
          </w:tcPr>
          <w:p w14:paraId="5471F808">
            <w:pPr>
              <w:widowControl/>
              <w:spacing w:line="360" w:lineRule="auto"/>
              <w:jc w:val="center"/>
              <w:rPr>
                <w:rFonts w:ascii="宋体" w:hAnsi="宋体" w:eastAsia="宋体" w:cs="宋体"/>
                <w:b/>
                <w:szCs w:val="21"/>
              </w:rPr>
            </w:pPr>
          </w:p>
        </w:tc>
        <w:tc>
          <w:tcPr>
            <w:tcW w:w="1858"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8</w:t>
            </w:r>
            <w:r>
              <w:rPr>
                <w:rFonts w:hint="eastAsia" w:ascii="宋体" w:hAnsi="宋体" w:eastAsia="宋体" w:cs="宋体"/>
                <w:szCs w:val="21"/>
              </w:rPr>
              <w:t xml:space="preserve"> 现场培训：供应商应提供现场技术培训，保证使用人员正常操作设备的各种功能。</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4" w:type="dxa"/>
            <w:vMerge w:val="restart"/>
            <w:vAlign w:val="center"/>
          </w:tcPr>
          <w:p w14:paraId="6B0EDCD4">
            <w:pPr>
              <w:widowControl/>
              <w:spacing w:line="360" w:lineRule="auto"/>
              <w:jc w:val="center"/>
              <w:rPr>
                <w:rFonts w:ascii="宋体" w:hAnsi="宋体" w:eastAsia="宋体" w:cs="宋体"/>
                <w:b/>
                <w:szCs w:val="21"/>
              </w:rPr>
            </w:pPr>
            <w:r>
              <w:rPr>
                <w:rFonts w:ascii="宋体" w:hAnsi="宋体" w:eastAsia="宋体" w:cs="宋体"/>
                <w:b/>
                <w:szCs w:val="21"/>
              </w:rPr>
              <w:t>3</w:t>
            </w:r>
          </w:p>
        </w:tc>
        <w:tc>
          <w:tcPr>
            <w:tcW w:w="1858"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.1 供应商中标后须在验收时提供经厂家授权的有效项目授权书扫描件，或者能够证明货物及软件部分是原厂出厂4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Merge w:val="continue"/>
            <w:vAlign w:val="center"/>
          </w:tcPr>
          <w:p w14:paraId="79D348D9">
            <w:pPr>
              <w:widowControl/>
              <w:spacing w:line="360" w:lineRule="auto"/>
              <w:jc w:val="center"/>
              <w:rPr>
                <w:rFonts w:ascii="宋体" w:hAnsi="宋体" w:eastAsia="宋体" w:cs="宋体"/>
                <w:b/>
                <w:szCs w:val="21"/>
              </w:rPr>
            </w:pPr>
          </w:p>
        </w:tc>
        <w:tc>
          <w:tcPr>
            <w:tcW w:w="1858"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.2供应商应按其投标文件中的承诺，进行其他售后服务工作。</w:t>
            </w:r>
          </w:p>
        </w:tc>
      </w:tr>
      <w:tr w14:paraId="5B4B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Align w:val="center"/>
          </w:tcPr>
          <w:p w14:paraId="699A394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858" w:type="dxa"/>
            <w:gridSpan w:val="2"/>
            <w:vAlign w:val="center"/>
          </w:tcPr>
          <w:p w14:paraId="5C9462CF">
            <w:pPr>
              <w:widowControl/>
              <w:spacing w:line="360" w:lineRule="auto"/>
              <w:jc w:val="center"/>
              <w:rPr>
                <w:rFonts w:ascii="宋体" w:hAnsi="宋体" w:eastAsia="宋体" w:cs="宋体"/>
                <w:b/>
                <w:szCs w:val="21"/>
              </w:rPr>
            </w:pPr>
            <w:r>
              <w:rPr>
                <w:rFonts w:hint="eastAsia" w:ascii="宋体" w:hAnsi="宋体" w:eastAsia="宋体" w:cs="宋体"/>
                <w:b/>
                <w:szCs w:val="21"/>
              </w:rPr>
              <w:t>环境部署</w:t>
            </w:r>
          </w:p>
        </w:tc>
        <w:tc>
          <w:tcPr>
            <w:tcW w:w="6585" w:type="dxa"/>
            <w:vAlign w:val="center"/>
          </w:tcPr>
          <w:p w14:paraId="439F8F5E">
            <w:pPr>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.1</w:t>
            </w:r>
            <w:r>
              <w:rPr>
                <w:rFonts w:hint="eastAsia" w:ascii="宋体" w:hAnsi="宋体" w:eastAsia="宋体" w:cs="宋体"/>
                <w:szCs w:val="21"/>
              </w:rPr>
              <w:t>对客户端设备上的数据进行安全防护，预防有人误删除数据、恶意删除数据或勒索病毒对文件进行非法加密。文件备份采用镜像备份模式，全备和增量备份目录夹都和源设备保持完全一致。自动对管理软件新建的数据库进行自动备份，防止用户通过管理软件新建库表后，忘记将新建数据库添加到备份计划内而丢失数据。—个完整的备份周期内进行局部重删，但多个备份周期内不重删，提升数据安全。</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36FCF"/>
    <w:rsid w:val="00041053"/>
    <w:rsid w:val="00067341"/>
    <w:rsid w:val="0008559A"/>
    <w:rsid w:val="00090197"/>
    <w:rsid w:val="000947C9"/>
    <w:rsid w:val="000A0D3E"/>
    <w:rsid w:val="000A1742"/>
    <w:rsid w:val="000A2117"/>
    <w:rsid w:val="000A50A8"/>
    <w:rsid w:val="000C5E0C"/>
    <w:rsid w:val="000C5E4D"/>
    <w:rsid w:val="000C7514"/>
    <w:rsid w:val="000D7046"/>
    <w:rsid w:val="000E2963"/>
    <w:rsid w:val="000E75D5"/>
    <w:rsid w:val="0016055B"/>
    <w:rsid w:val="00166749"/>
    <w:rsid w:val="00174C07"/>
    <w:rsid w:val="00181151"/>
    <w:rsid w:val="00192BE5"/>
    <w:rsid w:val="00194D8C"/>
    <w:rsid w:val="001B3D45"/>
    <w:rsid w:val="001B6657"/>
    <w:rsid w:val="001C2855"/>
    <w:rsid w:val="00211679"/>
    <w:rsid w:val="002316FA"/>
    <w:rsid w:val="00232B68"/>
    <w:rsid w:val="00241F29"/>
    <w:rsid w:val="002639DE"/>
    <w:rsid w:val="00277C9C"/>
    <w:rsid w:val="002847A0"/>
    <w:rsid w:val="002A035C"/>
    <w:rsid w:val="002A182F"/>
    <w:rsid w:val="002A51F2"/>
    <w:rsid w:val="002D1463"/>
    <w:rsid w:val="002D1E61"/>
    <w:rsid w:val="002F3530"/>
    <w:rsid w:val="00312844"/>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728AB"/>
    <w:rsid w:val="0048389C"/>
    <w:rsid w:val="004A3B0D"/>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94D45"/>
    <w:rsid w:val="006B163F"/>
    <w:rsid w:val="006B43E7"/>
    <w:rsid w:val="006C7E25"/>
    <w:rsid w:val="007006E2"/>
    <w:rsid w:val="00711775"/>
    <w:rsid w:val="007513FE"/>
    <w:rsid w:val="007526F5"/>
    <w:rsid w:val="007613F1"/>
    <w:rsid w:val="00782BB1"/>
    <w:rsid w:val="00782FC2"/>
    <w:rsid w:val="007A37B4"/>
    <w:rsid w:val="007A7713"/>
    <w:rsid w:val="007D0524"/>
    <w:rsid w:val="007D0997"/>
    <w:rsid w:val="007D1265"/>
    <w:rsid w:val="007D6115"/>
    <w:rsid w:val="007F2E5F"/>
    <w:rsid w:val="007F5310"/>
    <w:rsid w:val="0080596E"/>
    <w:rsid w:val="00834754"/>
    <w:rsid w:val="00836089"/>
    <w:rsid w:val="008404AE"/>
    <w:rsid w:val="00843B50"/>
    <w:rsid w:val="00870F40"/>
    <w:rsid w:val="00882B80"/>
    <w:rsid w:val="00885B4A"/>
    <w:rsid w:val="008B5505"/>
    <w:rsid w:val="00924785"/>
    <w:rsid w:val="009453AE"/>
    <w:rsid w:val="009615A3"/>
    <w:rsid w:val="00963755"/>
    <w:rsid w:val="009642ED"/>
    <w:rsid w:val="00991D47"/>
    <w:rsid w:val="009C0872"/>
    <w:rsid w:val="009C3758"/>
    <w:rsid w:val="009D6CBD"/>
    <w:rsid w:val="00A20AA6"/>
    <w:rsid w:val="00A2499B"/>
    <w:rsid w:val="00A309DE"/>
    <w:rsid w:val="00A35EAA"/>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01621"/>
    <w:rsid w:val="00C2090A"/>
    <w:rsid w:val="00C2775C"/>
    <w:rsid w:val="00C35167"/>
    <w:rsid w:val="00C35297"/>
    <w:rsid w:val="00C36FF3"/>
    <w:rsid w:val="00C74650"/>
    <w:rsid w:val="00C91C89"/>
    <w:rsid w:val="00CA196E"/>
    <w:rsid w:val="00CA3ED1"/>
    <w:rsid w:val="00CA5EE2"/>
    <w:rsid w:val="00CB1C4E"/>
    <w:rsid w:val="00CB7CCF"/>
    <w:rsid w:val="00CE4922"/>
    <w:rsid w:val="00D10E62"/>
    <w:rsid w:val="00D143E6"/>
    <w:rsid w:val="00D51DB9"/>
    <w:rsid w:val="00D85C6C"/>
    <w:rsid w:val="00D87A85"/>
    <w:rsid w:val="00D927AC"/>
    <w:rsid w:val="00DA1E0A"/>
    <w:rsid w:val="00DA5C1C"/>
    <w:rsid w:val="00DB46EA"/>
    <w:rsid w:val="00DC1743"/>
    <w:rsid w:val="00DC64D4"/>
    <w:rsid w:val="00DE4433"/>
    <w:rsid w:val="00DF529F"/>
    <w:rsid w:val="00E046FE"/>
    <w:rsid w:val="00E1711A"/>
    <w:rsid w:val="00E232CC"/>
    <w:rsid w:val="00E5035D"/>
    <w:rsid w:val="00EB1E94"/>
    <w:rsid w:val="00EC3FE7"/>
    <w:rsid w:val="00EC4B27"/>
    <w:rsid w:val="00ED6D6C"/>
    <w:rsid w:val="00EE27F5"/>
    <w:rsid w:val="00EF1347"/>
    <w:rsid w:val="00EF76BB"/>
    <w:rsid w:val="00F0084A"/>
    <w:rsid w:val="00F31637"/>
    <w:rsid w:val="00F51A94"/>
    <w:rsid w:val="00F53A90"/>
    <w:rsid w:val="00FB0830"/>
    <w:rsid w:val="00FB218B"/>
    <w:rsid w:val="00FC3750"/>
    <w:rsid w:val="00FC7D6A"/>
    <w:rsid w:val="02BB3E8D"/>
    <w:rsid w:val="03A013D6"/>
    <w:rsid w:val="0440541D"/>
    <w:rsid w:val="056F72B2"/>
    <w:rsid w:val="09F77876"/>
    <w:rsid w:val="0DB066B9"/>
    <w:rsid w:val="0EC17841"/>
    <w:rsid w:val="0F697CEF"/>
    <w:rsid w:val="145A737F"/>
    <w:rsid w:val="145D1EA6"/>
    <w:rsid w:val="152C116B"/>
    <w:rsid w:val="15633E35"/>
    <w:rsid w:val="1ABF618E"/>
    <w:rsid w:val="1C1F5136"/>
    <w:rsid w:val="1F074B8C"/>
    <w:rsid w:val="22B87270"/>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5E060373"/>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6">
    <w:name w:val="annotation subject"/>
    <w:basedOn w:val="2"/>
    <w:next w:val="2"/>
    <w:link w:val="18"/>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paragraph" w:styleId="13">
    <w:name w:val="List Paragraph"/>
    <w:basedOn w:val="1"/>
    <w:autoRedefine/>
    <w:qFormat/>
    <w:uiPriority w:val="34"/>
    <w:pPr>
      <w:ind w:firstLine="420" w:firstLineChars="200"/>
    </w:pPr>
  </w:style>
  <w:style w:type="character" w:customStyle="1" w:styleId="14">
    <w:name w:val="页眉 字符"/>
    <w:basedOn w:val="9"/>
    <w:link w:val="4"/>
    <w:autoRedefine/>
    <w:qFormat/>
    <w:uiPriority w:val="99"/>
    <w:rPr>
      <w:sz w:val="18"/>
      <w:szCs w:val="18"/>
    </w:rPr>
  </w:style>
  <w:style w:type="character" w:customStyle="1" w:styleId="15">
    <w:name w:val="页脚 字符"/>
    <w:basedOn w:val="9"/>
    <w:link w:val="3"/>
    <w:autoRedefine/>
    <w:qFormat/>
    <w:uiPriority w:val="99"/>
    <w:rPr>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1688</Words>
  <Characters>2056</Characters>
  <Lines>17</Lines>
  <Paragraphs>5</Paragraphs>
  <TotalTime>21</TotalTime>
  <ScaleCrop>false</ScaleCrop>
  <LinksUpToDate>false</LinksUpToDate>
  <CharactersWithSpaces>2119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2025-10-13T06:42:00Z</dcterms:created>
  <dc:creator>smbu</dc:creator>
  <cp:lastModifiedBy>阿列克謝</cp:lastModifiedBy>
  <dcterms:modified xsi:type="dcterms:W3CDTF">2026-04-24T07:29:59Z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0B431996E7B1480C84AF94C40FAB3E0E_13</vt:lpwstr>
  </property>
  <property fmtid="{D5CDD505-2E9C-101B-9397-08002B2CF9AE}" pid="4" name="KSOTemplateDocerSaveRecord">
    <vt:lpwstr>eyJoZGlkIjoiM2EzNGZmOWRmNzdlZGUxNWYyMmY5M2RlMThjZDJiYzIiLCJ1c2VySWQiOiIzMTAxMzMxMTIifQ==</vt:lpwstr>
  </property>
</Properties>
</file>