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98970">
      <w:pPr>
        <w:pStyle w:val="5"/>
        <w:tabs>
          <w:tab w:val="left" w:pos="540"/>
        </w:tabs>
        <w:adjustRightInd w:val="0"/>
        <w:snapToGrid w:val="0"/>
        <w:spacing w:line="360" w:lineRule="auto"/>
        <w:jc w:val="center"/>
        <w:rPr>
          <w:rFonts w:hint="eastAsia" w:hAnsi="宋体" w:cs="宋体"/>
          <w:b/>
          <w:sz w:val="32"/>
          <w:szCs w:val="32"/>
        </w:rPr>
      </w:pPr>
      <w:r>
        <w:rPr>
          <w:rFonts w:hint="eastAsia" w:hAnsi="宋体" w:cs="宋体"/>
          <w:b/>
          <w:sz w:val="32"/>
          <w:szCs w:val="32"/>
        </w:rPr>
        <w:t>深圳市龙华区中心医院数据库运维服务项目</w:t>
      </w:r>
    </w:p>
    <w:p w14:paraId="3913D7A5">
      <w:pPr>
        <w:pStyle w:val="5"/>
        <w:numPr>
          <w:ilvl w:val="0"/>
          <w:numId w:val="1"/>
        </w:numPr>
        <w:tabs>
          <w:tab w:val="left" w:pos="540"/>
        </w:tabs>
        <w:adjustRightInd w:val="0"/>
        <w:snapToGrid w:val="0"/>
        <w:spacing w:line="360" w:lineRule="auto"/>
        <w:rPr>
          <w:rFonts w:hint="eastAsia" w:hAnsi="宋体"/>
          <w:b/>
          <w:sz w:val="28"/>
          <w:szCs w:val="28"/>
        </w:rPr>
      </w:pPr>
      <w:r>
        <w:rPr>
          <w:rFonts w:hint="eastAsia" w:hAnsi="宋体"/>
          <w:b/>
          <w:sz w:val="28"/>
          <w:szCs w:val="28"/>
        </w:rPr>
        <w:t>项目一览表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06"/>
        <w:gridCol w:w="1576"/>
        <w:gridCol w:w="2465"/>
        <w:gridCol w:w="2465"/>
      </w:tblGrid>
      <w:tr w14:paraId="021E0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206" w:type="dxa"/>
            <w:tcBorders>
              <w:top w:val="single" w:color="auto" w:sz="12" w:space="0"/>
              <w:bottom w:val="single" w:color="auto" w:sz="2" w:space="0"/>
            </w:tcBorders>
            <w:shd w:val="clear" w:color="auto" w:fill="EEECE1"/>
            <w:vAlign w:val="center"/>
          </w:tcPr>
          <w:p w14:paraId="6649630F">
            <w:pPr>
              <w:jc w:val="center"/>
              <w:rPr>
                <w:rFonts w:ascii="宋体"/>
                <w:b/>
                <w:sz w:val="24"/>
              </w:rPr>
            </w:pPr>
            <w:r>
              <w:rPr>
                <w:rFonts w:hint="eastAsia" w:ascii="宋体"/>
                <w:b/>
                <w:sz w:val="24"/>
              </w:rPr>
              <w:t>服务内容</w:t>
            </w:r>
          </w:p>
        </w:tc>
        <w:tc>
          <w:tcPr>
            <w:tcW w:w="1576" w:type="dxa"/>
            <w:tcBorders>
              <w:top w:val="single" w:color="auto" w:sz="12" w:space="0"/>
              <w:bottom w:val="single" w:color="auto" w:sz="2" w:space="0"/>
            </w:tcBorders>
            <w:shd w:val="clear" w:color="auto" w:fill="EEECE1"/>
            <w:vAlign w:val="center"/>
          </w:tcPr>
          <w:p w14:paraId="3268CE78">
            <w:pPr>
              <w:jc w:val="center"/>
              <w:rPr>
                <w:rFonts w:ascii="宋体"/>
                <w:b/>
                <w:sz w:val="24"/>
              </w:rPr>
            </w:pPr>
            <w:r>
              <w:rPr>
                <w:rFonts w:hint="eastAsia" w:ascii="宋体"/>
                <w:b/>
                <w:sz w:val="24"/>
              </w:rPr>
              <w:t>数量</w:t>
            </w:r>
          </w:p>
        </w:tc>
        <w:tc>
          <w:tcPr>
            <w:tcW w:w="2465" w:type="dxa"/>
            <w:tcBorders>
              <w:top w:val="single" w:color="auto" w:sz="12" w:space="0"/>
              <w:bottom w:val="single" w:color="auto" w:sz="2" w:space="0"/>
            </w:tcBorders>
            <w:shd w:val="clear" w:color="auto" w:fill="EEECE1"/>
            <w:vAlign w:val="center"/>
          </w:tcPr>
          <w:p w14:paraId="7272DAC6">
            <w:pPr>
              <w:jc w:val="center"/>
              <w:rPr>
                <w:rFonts w:ascii="宋体"/>
                <w:b/>
                <w:sz w:val="24"/>
              </w:rPr>
            </w:pPr>
            <w:r>
              <w:rPr>
                <w:rFonts w:hint="eastAsia" w:ascii="宋体"/>
                <w:b/>
                <w:sz w:val="24"/>
              </w:rPr>
              <w:t>服务期</w:t>
            </w:r>
          </w:p>
        </w:tc>
        <w:tc>
          <w:tcPr>
            <w:tcW w:w="2465" w:type="dxa"/>
            <w:tcBorders>
              <w:top w:val="single" w:color="auto" w:sz="12" w:space="0"/>
              <w:bottom w:val="single" w:color="auto" w:sz="2" w:space="0"/>
            </w:tcBorders>
            <w:shd w:val="clear" w:color="auto" w:fill="EEECE1"/>
            <w:vAlign w:val="center"/>
          </w:tcPr>
          <w:p w14:paraId="47916C3E">
            <w:pPr>
              <w:jc w:val="center"/>
              <w:rPr>
                <w:rFonts w:ascii="宋体"/>
                <w:sz w:val="24"/>
              </w:rPr>
            </w:pPr>
            <w:r>
              <w:rPr>
                <w:rFonts w:hint="eastAsia"/>
                <w:b/>
                <w:sz w:val="24"/>
              </w:rPr>
              <w:t>最高限价</w:t>
            </w:r>
          </w:p>
        </w:tc>
      </w:tr>
      <w:tr w14:paraId="1CB42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206" w:type="dxa"/>
            <w:tcBorders>
              <w:top w:val="single" w:color="auto" w:sz="2" w:space="0"/>
            </w:tcBorders>
            <w:vAlign w:val="center"/>
          </w:tcPr>
          <w:p w14:paraId="2A1C2B07">
            <w:pPr>
              <w:jc w:val="center"/>
              <w:rPr>
                <w:rFonts w:hint="eastAsia" w:ascii="宋体" w:hAnsi="宋体"/>
                <w:kern w:val="0"/>
                <w:sz w:val="24"/>
              </w:rPr>
            </w:pPr>
            <w:r>
              <w:rPr>
                <w:rFonts w:hint="eastAsia" w:ascii="宋体" w:hAnsi="宋体"/>
                <w:bCs/>
                <w:sz w:val="24"/>
              </w:rPr>
              <w:t>数据库运维服务项目</w:t>
            </w:r>
          </w:p>
        </w:tc>
        <w:tc>
          <w:tcPr>
            <w:tcW w:w="1576" w:type="dxa"/>
            <w:tcBorders>
              <w:top w:val="single" w:color="auto" w:sz="2" w:space="0"/>
            </w:tcBorders>
            <w:vAlign w:val="center"/>
          </w:tcPr>
          <w:p w14:paraId="04F04B0D">
            <w:pPr>
              <w:jc w:val="center"/>
              <w:rPr>
                <w:rFonts w:hint="eastAsia" w:ascii="宋体" w:hAnsi="宋体"/>
                <w:kern w:val="0"/>
                <w:sz w:val="24"/>
              </w:rPr>
            </w:pPr>
            <w:r>
              <w:rPr>
                <w:rFonts w:hint="eastAsia" w:ascii="宋体" w:hAnsi="宋体"/>
                <w:kern w:val="0"/>
                <w:sz w:val="24"/>
              </w:rPr>
              <w:t>1项</w:t>
            </w:r>
          </w:p>
        </w:tc>
        <w:tc>
          <w:tcPr>
            <w:tcW w:w="2465" w:type="dxa"/>
            <w:tcBorders>
              <w:top w:val="single" w:color="auto" w:sz="2" w:space="0"/>
            </w:tcBorders>
            <w:vAlign w:val="center"/>
          </w:tcPr>
          <w:p w14:paraId="311A7A8A">
            <w:pPr>
              <w:jc w:val="center"/>
              <w:rPr>
                <w:rFonts w:hint="eastAsia" w:ascii="宋体" w:hAnsi="宋体"/>
                <w:kern w:val="0"/>
                <w:sz w:val="24"/>
              </w:rPr>
            </w:pPr>
            <w:r>
              <w:rPr>
                <w:rFonts w:hint="eastAsia" w:ascii="宋体" w:hAnsi="宋体"/>
                <w:kern w:val="0"/>
                <w:sz w:val="24"/>
              </w:rPr>
              <w:t>1年</w:t>
            </w:r>
          </w:p>
        </w:tc>
        <w:tc>
          <w:tcPr>
            <w:tcW w:w="2465" w:type="dxa"/>
            <w:tcBorders>
              <w:top w:val="single" w:color="auto" w:sz="2" w:space="0"/>
            </w:tcBorders>
            <w:vAlign w:val="center"/>
          </w:tcPr>
          <w:p w14:paraId="5599318E">
            <w:pPr>
              <w:jc w:val="center"/>
              <w:rPr>
                <w:rFonts w:hint="eastAsia" w:hAnsi="宋体"/>
                <w:kern w:val="0"/>
                <w:sz w:val="24"/>
              </w:rPr>
            </w:pPr>
            <w:r>
              <w:rPr>
                <w:rFonts w:hint="eastAsia" w:hAnsi="宋体"/>
                <w:kern w:val="0"/>
                <w:sz w:val="24"/>
              </w:rPr>
              <w:t>人民币</w:t>
            </w:r>
            <w:r>
              <w:rPr>
                <w:rFonts w:hint="eastAsia" w:ascii="宋体"/>
                <w:bCs/>
                <w:sz w:val="24"/>
              </w:rPr>
              <w:t>1</w:t>
            </w:r>
            <w:r>
              <w:rPr>
                <w:rFonts w:hint="eastAsia" w:ascii="宋体"/>
                <w:bCs/>
                <w:sz w:val="24"/>
                <w:lang w:val="en-US" w:eastAsia="zh-CN"/>
              </w:rPr>
              <w:t>00</w:t>
            </w:r>
            <w:r>
              <w:rPr>
                <w:rFonts w:hint="eastAsia" w:ascii="宋体"/>
                <w:bCs/>
                <w:sz w:val="24"/>
              </w:rPr>
              <w:t>000.00</w:t>
            </w:r>
            <w:r>
              <w:rPr>
                <w:rFonts w:hint="eastAsia" w:hAnsi="宋体"/>
                <w:kern w:val="0"/>
                <w:sz w:val="24"/>
              </w:rPr>
              <w:t>元</w:t>
            </w:r>
          </w:p>
        </w:tc>
      </w:tr>
    </w:tbl>
    <w:p w14:paraId="50126359">
      <w:pPr>
        <w:pStyle w:val="5"/>
        <w:numPr>
          <w:ilvl w:val="0"/>
          <w:numId w:val="1"/>
        </w:numPr>
        <w:tabs>
          <w:tab w:val="left" w:pos="540"/>
        </w:tabs>
        <w:adjustRightInd w:val="0"/>
        <w:snapToGrid w:val="0"/>
        <w:spacing w:line="360" w:lineRule="auto"/>
        <w:rPr>
          <w:rFonts w:hint="eastAsia" w:hAnsi="宋体"/>
          <w:b/>
          <w:sz w:val="28"/>
          <w:szCs w:val="28"/>
        </w:rPr>
      </w:pPr>
      <w:bookmarkStart w:id="0" w:name="_Toc98647886"/>
      <w:bookmarkStart w:id="1" w:name="_Toc98175185"/>
      <w:bookmarkStart w:id="2" w:name="_Toc146014226"/>
      <w:r>
        <w:rPr>
          <w:rFonts w:hint="eastAsia" w:hAnsi="宋体"/>
          <w:b/>
          <w:sz w:val="28"/>
          <w:szCs w:val="28"/>
        </w:rPr>
        <w:t>项目概述</w:t>
      </w:r>
    </w:p>
    <w:p w14:paraId="1BCE28FC">
      <w:pPr>
        <w:spacing w:line="360" w:lineRule="auto"/>
        <w:ind w:left="0" w:firstLine="420" w:firstLineChars="200"/>
        <w:jc w:val="left"/>
        <w:rPr>
          <w:rFonts w:hint="eastAsia" w:ascii="宋体" w:hAnsi="宋体" w:cs="宋体"/>
          <w:color w:val="000000"/>
          <w:sz w:val="24"/>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eastAsia="宋体" w:cs="宋体"/>
          <w:color w:val="000000"/>
          <w:sz w:val="24"/>
          <w:lang w:val="en-US" w:eastAsia="zh-CN"/>
        </w:rPr>
        <w:t>我院数据库类型多,版本各不一样，使得管理难度直线上升，通过数据库运维对我院现有的信息系统数据资源进行监控和管理，实时掌握数据库系统资源现状和配置信息，提前感知运行风险，能够智能反映数据库系统资源的健康状况，并快速解决故障，创建一个可知可控的数据库运行环境，从而保证我院信息系统的相关业务应用系统的稳定持续、安全运行。</w:t>
      </w:r>
      <w:r>
        <w:rPr>
          <w:rFonts w:hint="eastAsia" w:ascii="宋体" w:hAnsi="宋体" w:cs="宋体"/>
          <w:color w:val="000000"/>
          <w:sz w:val="24"/>
        </w:rPr>
        <w:t>现邀请第三方数据库专业服务商参与本项目竞标。购买三年的第三方维护和保修服务，合同一年一签，若甲方对乙方提供的维保服务质量无异议，则续签。</w:t>
      </w:r>
    </w:p>
    <w:p w14:paraId="1673A5A5">
      <w:pPr>
        <w:pStyle w:val="5"/>
        <w:numPr>
          <w:ilvl w:val="0"/>
          <w:numId w:val="1"/>
        </w:numPr>
        <w:tabs>
          <w:tab w:val="left" w:pos="540"/>
        </w:tabs>
        <w:adjustRightInd w:val="0"/>
        <w:snapToGrid w:val="0"/>
        <w:spacing w:line="360" w:lineRule="auto"/>
        <w:rPr>
          <w:rFonts w:hint="eastAsia" w:hAnsi="宋体"/>
          <w:b/>
          <w:sz w:val="28"/>
          <w:szCs w:val="28"/>
        </w:rPr>
      </w:pPr>
      <w:r>
        <w:rPr>
          <w:rFonts w:hint="eastAsia" w:hAnsi="宋体"/>
          <w:b/>
          <w:sz w:val="28"/>
          <w:szCs w:val="28"/>
        </w:rPr>
        <w:t>数据库服务清单</w:t>
      </w:r>
    </w:p>
    <w:p w14:paraId="45802F1F">
      <w:pPr>
        <w:spacing w:line="360" w:lineRule="auto"/>
        <w:rPr>
          <w:rFonts w:hint="eastAsia" w:hAnsi="宋体"/>
          <w:b/>
          <w:sz w:val="28"/>
          <w:szCs w:val="28"/>
        </w:rPr>
      </w:pPr>
      <w:r>
        <w:rPr>
          <w:rFonts w:hint="eastAsia" w:ascii="宋体" w:hAnsi="宋体" w:eastAsia="宋体" w:cs="宋体"/>
          <w:color w:val="000000"/>
          <w:sz w:val="24"/>
          <w:lang w:val="en-US" w:eastAsia="zh-CN"/>
        </w:rPr>
        <w:t xml:space="preserve">数据库系统（含 </w:t>
      </w:r>
      <w:r>
        <w:rPr>
          <w:rFonts w:hint="default" w:ascii="宋体" w:hAnsi="宋体" w:eastAsia="宋体" w:cs="宋体"/>
          <w:color w:val="000000"/>
          <w:sz w:val="24"/>
          <w:lang w:val="en-US" w:eastAsia="zh-CN"/>
        </w:rPr>
        <w:t>Oracle、SQL Server、 Mysql 等数据库），以及在建或未来新建的数据库系统，以及国产数据库技术咨询服务。</w:t>
      </w:r>
    </w:p>
    <w:p w14:paraId="4F34F8CD">
      <w:pPr>
        <w:pStyle w:val="5"/>
        <w:numPr>
          <w:ilvl w:val="0"/>
          <w:numId w:val="1"/>
        </w:numPr>
        <w:tabs>
          <w:tab w:val="left" w:pos="540"/>
        </w:tabs>
        <w:adjustRightInd w:val="0"/>
        <w:snapToGrid w:val="0"/>
        <w:spacing w:line="360" w:lineRule="auto"/>
        <w:rPr>
          <w:rFonts w:hint="eastAsia" w:hAnsi="宋体"/>
          <w:b/>
          <w:sz w:val="28"/>
          <w:szCs w:val="28"/>
        </w:rPr>
      </w:pPr>
      <w:r>
        <w:rPr>
          <w:rFonts w:hint="eastAsia" w:hAnsi="宋体"/>
          <w:b/>
          <w:sz w:val="28"/>
          <w:szCs w:val="28"/>
        </w:rPr>
        <w:t>数据库运维服务要求</w:t>
      </w:r>
      <w:bookmarkEnd w:id="0"/>
      <w:bookmarkEnd w:id="1"/>
      <w:bookmarkEnd w:id="2"/>
      <w:r>
        <w:rPr>
          <w:rFonts w:hint="eastAsia" w:hAnsi="宋体"/>
          <w:b/>
          <w:sz w:val="28"/>
          <w:szCs w:val="28"/>
        </w:rPr>
        <w:t>及服务内容</w:t>
      </w:r>
    </w:p>
    <w:p w14:paraId="674644DE">
      <w:pPr>
        <w:pStyle w:val="5"/>
        <w:numPr>
          <w:ilvl w:val="0"/>
          <w:numId w:val="2"/>
        </w:numPr>
        <w:spacing w:line="360" w:lineRule="auto"/>
        <w:rPr>
          <w:b/>
          <w:sz w:val="24"/>
          <w:szCs w:val="24"/>
        </w:rPr>
      </w:pPr>
      <w:r>
        <w:rPr>
          <w:rFonts w:hint="eastAsia"/>
          <w:b/>
          <w:sz w:val="24"/>
          <w:szCs w:val="24"/>
        </w:rPr>
        <w:t>服务要求</w:t>
      </w:r>
      <w:r>
        <w:rPr>
          <w:rFonts w:hint="eastAsia"/>
          <w:b/>
          <w:sz w:val="24"/>
          <w:szCs w:val="24"/>
          <w:lang w:eastAsia="zh-CN"/>
        </w:rPr>
        <w:t>（</w:t>
      </w:r>
      <w:r>
        <w:rPr>
          <w:rFonts w:hint="eastAsia"/>
          <w:b/>
          <w:sz w:val="24"/>
          <w:szCs w:val="24"/>
          <w:lang w:val="en-US" w:eastAsia="zh-CN"/>
        </w:rPr>
        <w:t>投标上传相关文件</w:t>
      </w:r>
      <w:r>
        <w:rPr>
          <w:rFonts w:hint="eastAsia"/>
          <w:b/>
          <w:sz w:val="24"/>
          <w:szCs w:val="24"/>
          <w:lang w:eastAsia="zh-CN"/>
        </w:rPr>
        <w:t>）</w:t>
      </w:r>
    </w:p>
    <w:p w14:paraId="402F5BEB">
      <w:pPr>
        <w:widowControl/>
        <w:numPr>
          <w:ilvl w:val="0"/>
          <w:numId w:val="3"/>
        </w:numPr>
        <w:spacing w:line="360" w:lineRule="auto"/>
        <w:ind w:left="0" w:firstLine="480" w:firstLineChars="200"/>
        <w:jc w:val="left"/>
        <w:rPr>
          <w:rFonts w:hint="eastAsia" w:ascii="宋体" w:hAnsi="宋体" w:cs="宋体"/>
          <w:sz w:val="24"/>
        </w:rPr>
      </w:pPr>
      <w:r>
        <w:rPr>
          <w:rFonts w:hint="eastAsia" w:ascii="宋体" w:hAnsi="宋体" w:cs="宋体"/>
          <w:sz w:val="24"/>
        </w:rPr>
        <w:t>投标人须提供1套数据库运维管理监控系统，监控系统必须具有相关计算机软件著作权登记证书或能证明是合法取得的相关证明文件。</w:t>
      </w:r>
    </w:p>
    <w:p w14:paraId="27AB36E1">
      <w:pPr>
        <w:widowControl/>
        <w:numPr>
          <w:ilvl w:val="0"/>
          <w:numId w:val="3"/>
        </w:numPr>
        <w:spacing w:line="560" w:lineRule="exact"/>
        <w:ind w:left="0" w:firstLine="480" w:firstLineChars="200"/>
        <w:jc w:val="left"/>
        <w:rPr>
          <w:rFonts w:hint="eastAsia" w:ascii="宋体" w:hAnsi="宋体" w:cs="宋体"/>
          <w:sz w:val="24"/>
        </w:rPr>
      </w:pPr>
      <w:r>
        <w:rPr>
          <w:rFonts w:hint="eastAsia" w:ascii="宋体" w:hAnsi="宋体" w:cs="宋体"/>
          <w:sz w:val="24"/>
        </w:rPr>
        <w:t>数据库运维管理监控系统需要能够按需生成巡检报告，并提供数据库日、月报，详细报告样稿。</w:t>
      </w:r>
    </w:p>
    <w:p w14:paraId="07E427CE">
      <w:pPr>
        <w:widowControl/>
        <w:numPr>
          <w:ilvl w:val="0"/>
          <w:numId w:val="3"/>
        </w:numPr>
        <w:spacing w:line="560" w:lineRule="exact"/>
        <w:ind w:left="0" w:firstLine="480" w:firstLineChars="200"/>
        <w:jc w:val="left"/>
        <w:rPr>
          <w:rFonts w:hint="eastAsia" w:ascii="宋体" w:hAnsi="宋体" w:cs="宋体"/>
          <w:sz w:val="24"/>
        </w:rPr>
      </w:pPr>
      <w:r>
        <w:rPr>
          <w:rFonts w:hint="eastAsia" w:ascii="宋体" w:hAnsi="宋体" w:cs="宋体"/>
          <w:sz w:val="24"/>
        </w:rPr>
        <w:t>投标人须对数据库运维管理监控系统的技术原理、网络架构、数据安全作说明。</w:t>
      </w:r>
    </w:p>
    <w:p w14:paraId="68C31036">
      <w:pPr>
        <w:widowControl/>
        <w:numPr>
          <w:ilvl w:val="0"/>
          <w:numId w:val="3"/>
        </w:numPr>
        <w:spacing w:line="560" w:lineRule="exact"/>
        <w:ind w:left="0" w:firstLine="480" w:firstLineChars="200"/>
        <w:jc w:val="left"/>
        <w:rPr>
          <w:rFonts w:hint="eastAsia" w:ascii="宋体" w:hAnsi="宋体" w:cs="宋体"/>
          <w:sz w:val="24"/>
        </w:rPr>
      </w:pPr>
      <w:r>
        <w:rPr>
          <w:rFonts w:hint="eastAsia" w:ascii="宋体" w:hAnsi="宋体" w:cs="宋体"/>
          <w:sz w:val="24"/>
        </w:rPr>
        <w:t>投标人须对数据库运维管理监控系统功能作介绍，功能包含：监控项及主机设定、监控项数据查看、系统日志、监控告警做详细</w:t>
      </w:r>
      <w:bookmarkStart w:id="3" w:name="_GoBack"/>
      <w:bookmarkEnd w:id="3"/>
      <w:r>
        <w:rPr>
          <w:rFonts w:hint="eastAsia" w:ascii="宋体" w:hAnsi="宋体" w:cs="宋体"/>
          <w:sz w:val="24"/>
        </w:rPr>
        <w:t>介绍。</w:t>
      </w:r>
    </w:p>
    <w:p w14:paraId="751F3210">
      <w:pPr>
        <w:pStyle w:val="5"/>
        <w:numPr>
          <w:ilvl w:val="0"/>
          <w:numId w:val="2"/>
        </w:numPr>
        <w:rPr>
          <w:b/>
          <w:sz w:val="24"/>
          <w:szCs w:val="24"/>
        </w:rPr>
      </w:pPr>
      <w:r>
        <w:rPr>
          <w:rFonts w:hint="eastAsia"/>
          <w:b/>
          <w:sz w:val="24"/>
          <w:szCs w:val="24"/>
        </w:rPr>
        <w:t>服务内容</w:t>
      </w:r>
    </w:p>
    <w:p w14:paraId="27DFEDF4">
      <w:pPr>
        <w:numPr>
          <w:ilvl w:val="0"/>
          <w:numId w:val="4"/>
        </w:numPr>
        <w:spacing w:line="560" w:lineRule="exact"/>
        <w:ind w:left="0" w:firstLine="480" w:firstLineChars="200"/>
        <w:rPr>
          <w:rFonts w:hint="eastAsia" w:ascii="宋体" w:hAnsi="宋体"/>
          <w:sz w:val="24"/>
        </w:rPr>
      </w:pPr>
      <w:r>
        <w:rPr>
          <w:rFonts w:hint="eastAsia" w:ascii="宋体" w:hAnsi="宋体"/>
          <w:sz w:val="24"/>
        </w:rPr>
        <w:t>需对现有 Oracle，SQL Server</w:t>
      </w:r>
      <w:r>
        <w:rPr>
          <w:rFonts w:ascii="宋体" w:hAnsi="宋体"/>
          <w:sz w:val="24"/>
        </w:rPr>
        <w:t>,Mysql</w:t>
      </w:r>
      <w:r>
        <w:rPr>
          <w:rFonts w:hint="eastAsia" w:ascii="宋体" w:hAnsi="宋体"/>
          <w:sz w:val="24"/>
        </w:rPr>
        <w:t>以及其它数据库及系统进行深度健康检查，对现有备份恢复策略及容灾机制进行验证，建立完备的基础档案。如果现系统存在不合理设置或隐患，应提供改进建议，并负责整改。如果现系统存在性能瓶颈，应提供优化建议并实施改。</w:t>
      </w:r>
    </w:p>
    <w:p w14:paraId="46815145">
      <w:pPr>
        <w:numPr>
          <w:ilvl w:val="0"/>
          <w:numId w:val="4"/>
        </w:numPr>
        <w:spacing w:line="560" w:lineRule="exact"/>
        <w:ind w:left="0" w:firstLine="480" w:firstLineChars="200"/>
        <w:rPr>
          <w:rFonts w:hint="eastAsia" w:ascii="宋体" w:hAnsi="宋体"/>
          <w:sz w:val="24"/>
        </w:rPr>
      </w:pPr>
      <w:r>
        <w:rPr>
          <w:rFonts w:hint="eastAsia" w:ascii="宋体" w:hAnsi="宋体"/>
          <w:sz w:val="24"/>
        </w:rPr>
        <w:t>服务方通过电话为我院提供技术支持，协助我院解决系统日常运行中的问题。服务方应设立 7*24 小时的技术支持热线，保证我院获得软件日常维护的技术支持，保证我院关于软件的技术性问题得到及时、有效的解答，对于通过电话指导不能解决的故障，服务方在征得我院同意后，应通过远程接入手段，登录到故障软件，进行故障诊断，查找故障出现的原因，指导现场维护人员处理故障。远程技术支持响应时间小于 30 分钟。</w:t>
      </w:r>
    </w:p>
    <w:p w14:paraId="3F9B420D">
      <w:pPr>
        <w:numPr>
          <w:ilvl w:val="0"/>
          <w:numId w:val="4"/>
        </w:numPr>
        <w:spacing w:line="560" w:lineRule="exact"/>
        <w:ind w:left="0" w:firstLine="480" w:firstLineChars="200"/>
        <w:rPr>
          <w:rFonts w:hint="eastAsia" w:ascii="宋体" w:hAnsi="宋体"/>
          <w:sz w:val="24"/>
        </w:rPr>
      </w:pPr>
      <w:r>
        <w:rPr>
          <w:rFonts w:hint="eastAsia" w:ascii="宋体" w:hAnsi="宋体"/>
          <w:sz w:val="24"/>
        </w:rPr>
        <w:t>服务方应为本次项目组织技术服务团队，资深工程师每</w:t>
      </w:r>
      <w:r>
        <w:rPr>
          <w:rFonts w:hint="eastAsia" w:ascii="宋体" w:hAnsi="宋体"/>
          <w:sz w:val="24"/>
          <w:lang w:val="en-US" w:eastAsia="zh-CN"/>
        </w:rPr>
        <w:t>季度</w:t>
      </w:r>
      <w:r>
        <w:rPr>
          <w:rFonts w:hint="eastAsia" w:ascii="宋体" w:hAnsi="宋体"/>
          <w:sz w:val="24"/>
        </w:rPr>
        <w:t>一次例行健康检查，及时发现数据库运行中出现的隐患，巡检完成后应有详细的巡检报告，发现问题及时整改。</w:t>
      </w:r>
    </w:p>
    <w:p w14:paraId="40EB61FF">
      <w:pPr>
        <w:numPr>
          <w:ilvl w:val="0"/>
          <w:numId w:val="4"/>
        </w:numPr>
        <w:spacing w:line="560" w:lineRule="exact"/>
        <w:ind w:left="0" w:firstLine="480" w:firstLineChars="200"/>
        <w:rPr>
          <w:rFonts w:hint="eastAsia" w:ascii="宋体" w:hAnsi="宋体"/>
          <w:sz w:val="24"/>
        </w:rPr>
      </w:pPr>
      <w:r>
        <w:rPr>
          <w:rFonts w:hint="eastAsia" w:ascii="宋体" w:hAnsi="宋体"/>
          <w:sz w:val="24"/>
        </w:rPr>
        <w:t>提供 7*24 小时应急现场服务，接到报修电话后10分钟响应，安排经验丰富的技术支持工程师2小时内赶到现场分析故障原因，制定故障解决方案，并最终排除故障。</w:t>
      </w:r>
    </w:p>
    <w:p w14:paraId="23B1CB93">
      <w:pPr>
        <w:numPr>
          <w:ilvl w:val="0"/>
          <w:numId w:val="4"/>
        </w:numPr>
        <w:spacing w:line="560" w:lineRule="exact"/>
        <w:ind w:left="0" w:firstLine="480" w:firstLineChars="200"/>
        <w:rPr>
          <w:rFonts w:hint="eastAsia" w:ascii="宋体" w:hAnsi="宋体"/>
          <w:sz w:val="24"/>
        </w:rPr>
      </w:pPr>
      <w:r>
        <w:rPr>
          <w:rFonts w:hint="eastAsia" w:ascii="宋体" w:hAnsi="宋体"/>
          <w:sz w:val="24"/>
        </w:rPr>
        <w:t>按用户的要求提供数据库软件安装和调试，并进行调优配置。</w:t>
      </w:r>
    </w:p>
    <w:p w14:paraId="75A30884">
      <w:pPr>
        <w:numPr>
          <w:ilvl w:val="0"/>
          <w:numId w:val="4"/>
        </w:numPr>
        <w:spacing w:line="560" w:lineRule="exact"/>
        <w:ind w:left="0" w:firstLine="480" w:firstLineChars="200"/>
        <w:rPr>
          <w:rFonts w:hint="eastAsia" w:ascii="宋体" w:hAnsi="宋体"/>
          <w:sz w:val="24"/>
        </w:rPr>
      </w:pPr>
      <w:r>
        <w:rPr>
          <w:rFonts w:hint="eastAsia" w:ascii="宋体" w:hAnsi="宋体"/>
          <w:sz w:val="24"/>
        </w:rPr>
        <w:t>分析客户数据库系统的实际情况，量身定制出数据库日常管理规范和操作，并提出建议方案，包括数据备份恢复方案，系统性能监控等。</w:t>
      </w:r>
    </w:p>
    <w:p w14:paraId="057E5102">
      <w:pPr>
        <w:numPr>
          <w:ilvl w:val="0"/>
          <w:numId w:val="4"/>
        </w:numPr>
        <w:spacing w:line="560" w:lineRule="exact"/>
        <w:ind w:left="0" w:firstLine="480" w:firstLineChars="200"/>
        <w:rPr>
          <w:rFonts w:hint="eastAsia" w:ascii="宋体" w:hAnsi="宋体"/>
          <w:sz w:val="24"/>
        </w:rPr>
      </w:pPr>
      <w:r>
        <w:rPr>
          <w:rFonts w:hint="eastAsia" w:ascii="宋体" w:hAnsi="宋体"/>
          <w:sz w:val="24"/>
        </w:rPr>
        <w:t>对客户数据库可能存在的性能问题，从系统、网络、应用软件及数据库等各方面进行全面的分析、评估和调整，以确定在数据库层面存在的主要性能瓶颈，并提出针对性能瓶颈的改进方案，对数据库进行整体性能的调整，以保证系统应用业务的效率。</w:t>
      </w:r>
    </w:p>
    <w:p w14:paraId="147B4DB0">
      <w:pPr>
        <w:numPr>
          <w:ilvl w:val="0"/>
          <w:numId w:val="4"/>
        </w:numPr>
        <w:spacing w:line="560" w:lineRule="exact"/>
        <w:ind w:left="0" w:firstLine="480" w:firstLineChars="200"/>
        <w:rPr>
          <w:rFonts w:hint="eastAsia" w:ascii="宋体" w:hAnsi="宋体"/>
          <w:sz w:val="24"/>
        </w:rPr>
      </w:pPr>
      <w:r>
        <w:rPr>
          <w:rFonts w:hint="eastAsia" w:ascii="宋体" w:hAnsi="宋体"/>
          <w:sz w:val="24"/>
        </w:rPr>
        <w:t>定期检查客户数据库系统软件的补丁程序的安装情况和软件版本状况，根据系统运行状况提出是否安装新的补丁程序或进行软件版本升级建议。并根据用户安排，进行安装实施。</w:t>
      </w:r>
    </w:p>
    <w:p w14:paraId="2942DBAB">
      <w:pPr>
        <w:numPr>
          <w:ilvl w:val="0"/>
          <w:numId w:val="4"/>
        </w:numPr>
        <w:spacing w:line="560" w:lineRule="exact"/>
        <w:ind w:left="0" w:firstLine="480" w:firstLineChars="200"/>
        <w:rPr>
          <w:rFonts w:hint="eastAsia" w:ascii="宋体" w:hAnsi="宋体"/>
          <w:sz w:val="24"/>
        </w:rPr>
      </w:pPr>
      <w:r>
        <w:rPr>
          <w:rFonts w:hint="eastAsia" w:ascii="宋体" w:hAnsi="宋体"/>
          <w:sz w:val="24"/>
        </w:rPr>
        <w:t>定期组织开展数据库培训及技术交流服务，提高医院数据库管理人员的操作技能和业务水平。</w:t>
      </w:r>
    </w:p>
    <w:p w14:paraId="0BBB55A0">
      <w:pPr>
        <w:numPr>
          <w:ilvl w:val="0"/>
          <w:numId w:val="4"/>
        </w:numPr>
        <w:spacing w:line="560" w:lineRule="exact"/>
        <w:ind w:left="0" w:firstLine="480" w:firstLineChars="200"/>
        <w:rPr>
          <w:rFonts w:hint="eastAsia" w:ascii="宋体" w:hAnsi="宋体"/>
          <w:sz w:val="24"/>
        </w:rPr>
      </w:pPr>
      <w:r>
        <w:rPr>
          <w:rFonts w:hint="eastAsia" w:ascii="宋体" w:hAnsi="宋体"/>
          <w:sz w:val="24"/>
        </w:rPr>
        <w:t>服务方应协助我院提供数据库监理服务，在我院新上应用系统过程中，就数据库类别、版本选型提供专业建议；应用交付过程中提供压力测试，备份策略，容灾等专业建议。</w:t>
      </w:r>
    </w:p>
    <w:p w14:paraId="5986D349">
      <w:pPr>
        <w:numPr>
          <w:ilvl w:val="0"/>
          <w:numId w:val="4"/>
        </w:numPr>
        <w:spacing w:line="560" w:lineRule="exact"/>
        <w:ind w:left="0" w:firstLine="480" w:firstLineChars="200"/>
        <w:rPr>
          <w:rFonts w:hint="eastAsia" w:ascii="宋体" w:hAnsi="宋体"/>
          <w:sz w:val="24"/>
        </w:rPr>
      </w:pPr>
      <w:r>
        <w:rPr>
          <w:rFonts w:hint="eastAsia" w:ascii="宋体" w:hAnsi="宋体"/>
          <w:sz w:val="24"/>
        </w:rPr>
        <w:t>其它可能未述及的与数据库运维相关的技术支持工作，如重大变更、重要节假日的现场或者远程值守。</w:t>
      </w:r>
    </w:p>
    <w:p w14:paraId="47229EF2">
      <w:pPr>
        <w:numPr>
          <w:ilvl w:val="0"/>
          <w:numId w:val="4"/>
        </w:numPr>
        <w:spacing w:line="560" w:lineRule="exact"/>
        <w:ind w:left="0" w:firstLine="480" w:firstLineChars="200"/>
        <w:rPr>
          <w:rFonts w:hint="eastAsia" w:ascii="宋体" w:hAnsi="宋体"/>
          <w:sz w:val="24"/>
        </w:rPr>
      </w:pPr>
      <w:r>
        <w:rPr>
          <w:rFonts w:hint="eastAsia" w:ascii="宋体" w:hAnsi="宋体"/>
          <w:sz w:val="24"/>
          <w:lang w:val="en-US" w:eastAsia="zh-CN"/>
        </w:rPr>
        <w:t>按客户需求提供现场技术支持服务，例如：安全检查、三甲检查现场技术支持。</w:t>
      </w:r>
    </w:p>
    <w:p w14:paraId="18CF82E7">
      <w:pPr>
        <w:numPr>
          <w:ilvl w:val="0"/>
          <w:numId w:val="4"/>
        </w:numPr>
        <w:spacing w:line="560" w:lineRule="exact"/>
        <w:ind w:left="0" w:firstLine="482" w:firstLineChars="200"/>
        <w:rPr>
          <w:rFonts w:hint="eastAsia" w:ascii="宋体" w:hAnsi="宋体"/>
          <w:b/>
          <w:bCs/>
          <w:sz w:val="24"/>
        </w:rPr>
      </w:pPr>
      <w:r>
        <w:rPr>
          <w:rFonts w:hint="eastAsia" w:ascii="宋体" w:hAnsi="宋体"/>
          <w:b/>
          <w:bCs/>
          <w:sz w:val="24"/>
        </w:rPr>
        <w:t>故障响应要求</w:t>
      </w:r>
    </w:p>
    <w:p w14:paraId="788D1C88">
      <w:pPr>
        <w:widowControl/>
        <w:spacing w:line="560" w:lineRule="exact"/>
        <w:ind w:firstLine="480" w:firstLineChars="200"/>
        <w:jc w:val="left"/>
        <w:rPr>
          <w:rFonts w:hint="eastAsia" w:ascii="宋体" w:hAnsi="宋体" w:cs="宋体"/>
          <w:sz w:val="24"/>
        </w:rPr>
      </w:pPr>
      <w:r>
        <w:rPr>
          <w:rFonts w:hint="eastAsia" w:ascii="宋体" w:hAnsi="宋体" w:cs="宋体"/>
          <w:sz w:val="24"/>
        </w:rPr>
        <w:t>根据数据库系统故障对业务连续性的影响程度，并考虑故障系统不间断运行的技术可行性，信息系统的故障按照所影响的系统重要性、运行时段和影响程度分为四级，其定义和对应的现场响应要求如下表：</w:t>
      </w:r>
    </w:p>
    <w:tbl>
      <w:tblPr>
        <w:tblStyle w:val="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2351"/>
        <w:gridCol w:w="2281"/>
        <w:gridCol w:w="1239"/>
        <w:gridCol w:w="1608"/>
      </w:tblGrid>
      <w:tr w14:paraId="1F457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204" w:type="dxa"/>
            <w:tcBorders>
              <w:top w:val="single" w:color="auto" w:sz="4" w:space="0"/>
              <w:left w:val="single" w:color="auto" w:sz="4" w:space="0"/>
              <w:bottom w:val="single" w:color="auto" w:sz="4" w:space="0"/>
              <w:right w:val="single" w:color="auto" w:sz="4" w:space="0"/>
            </w:tcBorders>
            <w:shd w:val="clear" w:color="auto" w:fill="C0C0C0"/>
            <w:vAlign w:val="center"/>
          </w:tcPr>
          <w:p w14:paraId="08FAD6F3">
            <w:pPr>
              <w:rPr>
                <w:rFonts w:hint="eastAsia" w:ascii="宋体" w:hAnsi="宋体" w:cs="宋体"/>
                <w:sz w:val="22"/>
                <w:szCs w:val="22"/>
              </w:rPr>
            </w:pPr>
            <w:r>
              <w:rPr>
                <w:rFonts w:hint="eastAsia" w:ascii="宋体" w:hAnsi="宋体" w:cs="宋体"/>
                <w:sz w:val="22"/>
                <w:szCs w:val="22"/>
              </w:rPr>
              <w:t>故障级别</w:t>
            </w:r>
          </w:p>
        </w:tc>
        <w:tc>
          <w:tcPr>
            <w:tcW w:w="2351" w:type="dxa"/>
            <w:tcBorders>
              <w:top w:val="single" w:color="auto" w:sz="4" w:space="0"/>
              <w:left w:val="single" w:color="auto" w:sz="4" w:space="0"/>
              <w:bottom w:val="single" w:color="auto" w:sz="4" w:space="0"/>
              <w:right w:val="single" w:color="auto" w:sz="4" w:space="0"/>
            </w:tcBorders>
            <w:shd w:val="clear" w:color="auto" w:fill="C0C0C0"/>
            <w:vAlign w:val="center"/>
          </w:tcPr>
          <w:p w14:paraId="075DAF5D">
            <w:pPr>
              <w:jc w:val="center"/>
              <w:rPr>
                <w:rFonts w:hint="eastAsia" w:ascii="宋体" w:hAnsi="宋体" w:cs="宋体"/>
                <w:sz w:val="22"/>
                <w:szCs w:val="22"/>
              </w:rPr>
            </w:pPr>
            <w:r>
              <w:rPr>
                <w:rFonts w:hint="eastAsia" w:ascii="宋体" w:hAnsi="宋体" w:cs="宋体"/>
                <w:sz w:val="22"/>
                <w:szCs w:val="22"/>
              </w:rPr>
              <w:t>故障现象</w:t>
            </w:r>
          </w:p>
        </w:tc>
        <w:tc>
          <w:tcPr>
            <w:tcW w:w="2281" w:type="dxa"/>
            <w:tcBorders>
              <w:top w:val="single" w:color="auto" w:sz="4" w:space="0"/>
              <w:left w:val="single" w:color="auto" w:sz="4" w:space="0"/>
              <w:bottom w:val="single" w:color="auto" w:sz="4" w:space="0"/>
              <w:right w:val="single" w:color="auto" w:sz="4" w:space="0"/>
            </w:tcBorders>
            <w:shd w:val="clear" w:color="auto" w:fill="C0C0C0"/>
            <w:vAlign w:val="center"/>
          </w:tcPr>
          <w:p w14:paraId="56DFB52E">
            <w:pPr>
              <w:jc w:val="center"/>
              <w:rPr>
                <w:rFonts w:hint="eastAsia" w:ascii="宋体" w:hAnsi="宋体" w:cs="宋体"/>
                <w:sz w:val="22"/>
                <w:szCs w:val="22"/>
              </w:rPr>
            </w:pPr>
            <w:r>
              <w:rPr>
                <w:rFonts w:hint="eastAsia" w:ascii="宋体" w:hAnsi="宋体" w:cs="宋体"/>
                <w:sz w:val="22"/>
                <w:szCs w:val="22"/>
              </w:rPr>
              <w:t>典型事件</w:t>
            </w:r>
          </w:p>
        </w:tc>
        <w:tc>
          <w:tcPr>
            <w:tcW w:w="1239" w:type="dxa"/>
            <w:tcBorders>
              <w:top w:val="single" w:color="auto" w:sz="4" w:space="0"/>
              <w:left w:val="single" w:color="auto" w:sz="4" w:space="0"/>
              <w:bottom w:val="single" w:color="auto" w:sz="4" w:space="0"/>
              <w:right w:val="single" w:color="auto" w:sz="4" w:space="0"/>
            </w:tcBorders>
            <w:shd w:val="clear" w:color="auto" w:fill="C0C0C0"/>
            <w:vAlign w:val="center"/>
          </w:tcPr>
          <w:p w14:paraId="1C3F4BD3">
            <w:pPr>
              <w:rPr>
                <w:rFonts w:hint="eastAsia" w:ascii="宋体" w:hAnsi="宋体" w:cs="宋体"/>
                <w:sz w:val="22"/>
                <w:szCs w:val="22"/>
              </w:rPr>
            </w:pPr>
            <w:r>
              <w:rPr>
                <w:rFonts w:hint="eastAsia" w:ascii="宋体" w:hAnsi="宋体" w:cs="宋体"/>
                <w:sz w:val="22"/>
                <w:szCs w:val="22"/>
              </w:rPr>
              <w:t>电话响应</w:t>
            </w:r>
          </w:p>
        </w:tc>
        <w:tc>
          <w:tcPr>
            <w:tcW w:w="1608" w:type="dxa"/>
            <w:tcBorders>
              <w:top w:val="single" w:color="auto" w:sz="4" w:space="0"/>
              <w:left w:val="single" w:color="auto" w:sz="4" w:space="0"/>
              <w:bottom w:val="single" w:color="auto" w:sz="4" w:space="0"/>
              <w:right w:val="single" w:color="auto" w:sz="4" w:space="0"/>
            </w:tcBorders>
            <w:shd w:val="clear" w:color="auto" w:fill="C0C0C0"/>
            <w:vAlign w:val="center"/>
          </w:tcPr>
          <w:p w14:paraId="1B9D82C8">
            <w:pPr>
              <w:jc w:val="center"/>
              <w:rPr>
                <w:rFonts w:hint="eastAsia" w:ascii="宋体" w:hAnsi="宋体" w:cs="宋体"/>
                <w:sz w:val="22"/>
                <w:szCs w:val="22"/>
              </w:rPr>
            </w:pPr>
            <w:r>
              <w:rPr>
                <w:rFonts w:hint="eastAsia" w:ascii="宋体" w:hAnsi="宋体" w:cs="宋体"/>
                <w:sz w:val="22"/>
                <w:szCs w:val="22"/>
              </w:rPr>
              <w:t>服务响应</w:t>
            </w:r>
          </w:p>
        </w:tc>
      </w:tr>
      <w:tr w14:paraId="53682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24E9E41B">
            <w:pPr>
              <w:rPr>
                <w:rFonts w:hint="eastAsia" w:ascii="宋体" w:hAnsi="宋体" w:cs="宋体"/>
                <w:sz w:val="22"/>
                <w:szCs w:val="22"/>
              </w:rPr>
            </w:pPr>
            <w:r>
              <w:rPr>
                <w:rFonts w:hint="eastAsia" w:ascii="宋体" w:hAnsi="宋体" w:cs="宋体"/>
                <w:sz w:val="22"/>
                <w:szCs w:val="22"/>
              </w:rPr>
              <w:t>一级故障</w:t>
            </w:r>
          </w:p>
        </w:tc>
        <w:tc>
          <w:tcPr>
            <w:tcW w:w="2351" w:type="dxa"/>
            <w:tcBorders>
              <w:top w:val="single" w:color="auto" w:sz="4" w:space="0"/>
              <w:left w:val="single" w:color="auto" w:sz="4" w:space="0"/>
              <w:bottom w:val="single" w:color="auto" w:sz="4" w:space="0"/>
              <w:right w:val="single" w:color="auto" w:sz="4" w:space="0"/>
            </w:tcBorders>
            <w:vAlign w:val="center"/>
          </w:tcPr>
          <w:p w14:paraId="0C6D41B1">
            <w:pPr>
              <w:rPr>
                <w:rFonts w:hint="eastAsia" w:ascii="宋体" w:hAnsi="宋体" w:cs="宋体"/>
                <w:sz w:val="22"/>
                <w:szCs w:val="22"/>
              </w:rPr>
            </w:pPr>
            <w:r>
              <w:rPr>
                <w:rFonts w:hint="eastAsia" w:ascii="宋体" w:hAnsi="宋体" w:cs="宋体"/>
                <w:sz w:val="22"/>
                <w:szCs w:val="22"/>
              </w:rPr>
              <w:t>医院重要生产业务数据库系统宕机或者数据库系统故障导致系统不可用</w:t>
            </w:r>
          </w:p>
        </w:tc>
        <w:tc>
          <w:tcPr>
            <w:tcW w:w="2281" w:type="dxa"/>
            <w:tcBorders>
              <w:top w:val="single" w:color="auto" w:sz="4" w:space="0"/>
              <w:left w:val="single" w:color="auto" w:sz="4" w:space="0"/>
              <w:bottom w:val="single" w:color="auto" w:sz="4" w:space="0"/>
              <w:right w:val="single" w:color="auto" w:sz="4" w:space="0"/>
            </w:tcBorders>
            <w:vAlign w:val="center"/>
          </w:tcPr>
          <w:p w14:paraId="76568628">
            <w:pPr>
              <w:rPr>
                <w:rFonts w:hint="eastAsia" w:ascii="宋体" w:hAnsi="宋体" w:cs="宋体"/>
                <w:sz w:val="22"/>
                <w:szCs w:val="22"/>
              </w:rPr>
            </w:pPr>
            <w:r>
              <w:rPr>
                <w:rFonts w:hint="eastAsia" w:ascii="宋体" w:hAnsi="宋体" w:cs="宋体"/>
                <w:sz w:val="22"/>
                <w:szCs w:val="22"/>
              </w:rPr>
              <w:t xml:space="preserve">重要生产业务数据库系统中止；重要生产业务数据库系统故障导致数据丢失或系统不可用； </w:t>
            </w:r>
          </w:p>
        </w:tc>
        <w:tc>
          <w:tcPr>
            <w:tcW w:w="1239" w:type="dxa"/>
            <w:tcBorders>
              <w:top w:val="single" w:color="auto" w:sz="4" w:space="0"/>
              <w:left w:val="single" w:color="auto" w:sz="4" w:space="0"/>
              <w:bottom w:val="single" w:color="auto" w:sz="4" w:space="0"/>
              <w:right w:val="single" w:color="auto" w:sz="4" w:space="0"/>
            </w:tcBorders>
            <w:vAlign w:val="center"/>
          </w:tcPr>
          <w:p w14:paraId="41B59A15">
            <w:pPr>
              <w:jc w:val="left"/>
              <w:rPr>
                <w:rFonts w:hint="eastAsia" w:ascii="宋体" w:hAnsi="宋体" w:cs="宋体"/>
                <w:sz w:val="22"/>
                <w:szCs w:val="22"/>
              </w:rPr>
            </w:pPr>
            <w:r>
              <w:rPr>
                <w:rFonts w:hint="eastAsia" w:ascii="宋体" w:hAnsi="宋体" w:cs="宋体"/>
                <w:sz w:val="22"/>
                <w:szCs w:val="22"/>
              </w:rPr>
              <w:t>立即并指派专人立即赶到现场排除故障</w:t>
            </w:r>
          </w:p>
        </w:tc>
        <w:tc>
          <w:tcPr>
            <w:tcW w:w="1608" w:type="dxa"/>
            <w:tcBorders>
              <w:top w:val="single" w:color="auto" w:sz="4" w:space="0"/>
              <w:left w:val="single" w:color="auto" w:sz="4" w:space="0"/>
              <w:bottom w:val="single" w:color="auto" w:sz="4" w:space="0"/>
              <w:right w:val="single" w:color="auto" w:sz="4" w:space="0"/>
            </w:tcBorders>
            <w:vAlign w:val="center"/>
          </w:tcPr>
          <w:p w14:paraId="0A01958B">
            <w:pPr>
              <w:jc w:val="left"/>
              <w:rPr>
                <w:rFonts w:hint="eastAsia" w:ascii="宋体" w:hAnsi="宋体" w:cs="宋体"/>
                <w:sz w:val="22"/>
                <w:szCs w:val="22"/>
              </w:rPr>
            </w:pPr>
            <w:r>
              <w:rPr>
                <w:rFonts w:hint="eastAsia" w:ascii="宋体" w:hAnsi="宋体" w:cs="宋体"/>
                <w:sz w:val="22"/>
                <w:szCs w:val="22"/>
              </w:rPr>
              <w:t>10分钟内立即响应，1小时到达现场，2小时内恢复业务</w:t>
            </w:r>
          </w:p>
        </w:tc>
      </w:tr>
      <w:tr w14:paraId="55A29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60269D3D">
            <w:pPr>
              <w:rPr>
                <w:rFonts w:hint="eastAsia" w:ascii="宋体" w:hAnsi="宋体" w:cs="宋体"/>
                <w:sz w:val="22"/>
                <w:szCs w:val="22"/>
              </w:rPr>
            </w:pPr>
            <w:r>
              <w:rPr>
                <w:rFonts w:hint="eastAsia" w:ascii="宋体" w:hAnsi="宋体" w:cs="宋体"/>
                <w:sz w:val="22"/>
                <w:szCs w:val="22"/>
              </w:rPr>
              <w:t>二级故障</w:t>
            </w:r>
          </w:p>
        </w:tc>
        <w:tc>
          <w:tcPr>
            <w:tcW w:w="2351" w:type="dxa"/>
            <w:tcBorders>
              <w:top w:val="single" w:color="auto" w:sz="4" w:space="0"/>
              <w:left w:val="single" w:color="auto" w:sz="4" w:space="0"/>
              <w:bottom w:val="single" w:color="auto" w:sz="4" w:space="0"/>
              <w:right w:val="single" w:color="auto" w:sz="4" w:space="0"/>
            </w:tcBorders>
            <w:vAlign w:val="center"/>
          </w:tcPr>
          <w:p w14:paraId="754405C8">
            <w:pPr>
              <w:rPr>
                <w:rFonts w:hint="eastAsia" w:ascii="宋体" w:hAnsi="宋体" w:cs="宋体"/>
                <w:sz w:val="22"/>
                <w:szCs w:val="22"/>
              </w:rPr>
            </w:pPr>
            <w:r>
              <w:rPr>
                <w:rFonts w:hint="eastAsia" w:ascii="宋体" w:hAnsi="宋体" w:cs="宋体"/>
                <w:sz w:val="22"/>
                <w:szCs w:val="22"/>
              </w:rPr>
              <w:t>医院重要生产业务数据库系统性能严重下降，但数据库系统仍可正常运行</w:t>
            </w:r>
          </w:p>
        </w:tc>
        <w:tc>
          <w:tcPr>
            <w:tcW w:w="2281" w:type="dxa"/>
            <w:tcBorders>
              <w:top w:val="single" w:color="auto" w:sz="4" w:space="0"/>
              <w:left w:val="single" w:color="auto" w:sz="4" w:space="0"/>
              <w:bottom w:val="single" w:color="auto" w:sz="4" w:space="0"/>
              <w:right w:val="single" w:color="auto" w:sz="4" w:space="0"/>
            </w:tcBorders>
            <w:vAlign w:val="center"/>
          </w:tcPr>
          <w:p w14:paraId="021A4221">
            <w:pPr>
              <w:rPr>
                <w:rFonts w:hint="eastAsia" w:ascii="宋体" w:hAnsi="宋体" w:cs="宋体"/>
                <w:sz w:val="22"/>
                <w:szCs w:val="22"/>
              </w:rPr>
            </w:pPr>
            <w:r>
              <w:rPr>
                <w:rFonts w:hint="eastAsia" w:ascii="宋体" w:hAnsi="宋体" w:cs="宋体"/>
                <w:sz w:val="22"/>
                <w:szCs w:val="22"/>
              </w:rPr>
              <w:t>医院重要生产业务应用程序较频繁地发生故障，但未导致数据丢失；管理系统发生了严重的、但可预测的故障；系统性能严重降低。</w:t>
            </w:r>
          </w:p>
        </w:tc>
        <w:tc>
          <w:tcPr>
            <w:tcW w:w="1239" w:type="dxa"/>
            <w:tcBorders>
              <w:top w:val="single" w:color="auto" w:sz="4" w:space="0"/>
              <w:left w:val="single" w:color="auto" w:sz="4" w:space="0"/>
              <w:bottom w:val="single" w:color="auto" w:sz="4" w:space="0"/>
              <w:right w:val="single" w:color="auto" w:sz="4" w:space="0"/>
            </w:tcBorders>
            <w:vAlign w:val="center"/>
          </w:tcPr>
          <w:p w14:paraId="08E1CA10">
            <w:pPr>
              <w:jc w:val="left"/>
              <w:rPr>
                <w:rFonts w:hint="eastAsia" w:ascii="宋体" w:hAnsi="宋体" w:cs="宋体"/>
                <w:sz w:val="22"/>
                <w:szCs w:val="22"/>
              </w:rPr>
            </w:pPr>
            <w:r>
              <w:rPr>
                <w:rFonts w:hint="eastAsia" w:ascii="宋体" w:hAnsi="宋体" w:cs="宋体"/>
                <w:sz w:val="22"/>
                <w:szCs w:val="22"/>
              </w:rPr>
              <w:t>立即并指派专人立即赶到现场排除故障</w:t>
            </w:r>
          </w:p>
        </w:tc>
        <w:tc>
          <w:tcPr>
            <w:tcW w:w="1608" w:type="dxa"/>
            <w:tcBorders>
              <w:top w:val="single" w:color="auto" w:sz="4" w:space="0"/>
              <w:left w:val="single" w:color="auto" w:sz="4" w:space="0"/>
              <w:bottom w:val="single" w:color="auto" w:sz="4" w:space="0"/>
              <w:right w:val="single" w:color="auto" w:sz="4" w:space="0"/>
            </w:tcBorders>
            <w:vAlign w:val="center"/>
          </w:tcPr>
          <w:p w14:paraId="5137A676">
            <w:pPr>
              <w:jc w:val="left"/>
              <w:rPr>
                <w:rFonts w:hint="eastAsia" w:ascii="宋体" w:hAnsi="宋体" w:cs="宋体"/>
                <w:sz w:val="22"/>
                <w:szCs w:val="22"/>
              </w:rPr>
            </w:pPr>
            <w:r>
              <w:rPr>
                <w:rFonts w:hint="eastAsia" w:ascii="宋体" w:hAnsi="宋体" w:cs="宋体"/>
                <w:sz w:val="22"/>
                <w:szCs w:val="22"/>
              </w:rPr>
              <w:t>10分钟内立即响应，2小时到达现场，4小时内恢复业务</w:t>
            </w:r>
          </w:p>
        </w:tc>
      </w:tr>
      <w:tr w14:paraId="55CE6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7134F1CE">
            <w:pPr>
              <w:rPr>
                <w:rFonts w:hint="eastAsia" w:ascii="宋体" w:hAnsi="宋体" w:cs="宋体"/>
                <w:sz w:val="22"/>
                <w:szCs w:val="22"/>
              </w:rPr>
            </w:pPr>
            <w:r>
              <w:rPr>
                <w:rFonts w:hint="eastAsia" w:ascii="宋体" w:hAnsi="宋体" w:cs="宋体"/>
                <w:sz w:val="22"/>
                <w:szCs w:val="22"/>
              </w:rPr>
              <w:t>三级故障</w:t>
            </w:r>
          </w:p>
          <w:p w14:paraId="09933D64">
            <w:pPr>
              <w:rPr>
                <w:rFonts w:hint="eastAsia" w:ascii="宋体" w:hAnsi="宋体" w:cs="宋体"/>
                <w:sz w:val="22"/>
                <w:szCs w:val="22"/>
              </w:rPr>
            </w:pPr>
          </w:p>
        </w:tc>
        <w:tc>
          <w:tcPr>
            <w:tcW w:w="2351" w:type="dxa"/>
            <w:tcBorders>
              <w:top w:val="single" w:color="auto" w:sz="4" w:space="0"/>
              <w:left w:val="single" w:color="auto" w:sz="4" w:space="0"/>
              <w:bottom w:val="single" w:color="auto" w:sz="4" w:space="0"/>
              <w:right w:val="single" w:color="auto" w:sz="4" w:space="0"/>
            </w:tcBorders>
            <w:vAlign w:val="center"/>
          </w:tcPr>
          <w:p w14:paraId="2AE8633C">
            <w:pPr>
              <w:rPr>
                <w:rFonts w:hint="eastAsia" w:ascii="宋体" w:hAnsi="宋体" w:cs="宋体"/>
                <w:sz w:val="22"/>
                <w:szCs w:val="22"/>
              </w:rPr>
            </w:pPr>
            <w:r>
              <w:rPr>
                <w:rFonts w:hint="eastAsia" w:ascii="宋体" w:hAnsi="宋体" w:cs="宋体"/>
                <w:sz w:val="22"/>
                <w:szCs w:val="22"/>
              </w:rPr>
              <w:t>医院重要生产业务数据库系统出现直接影响服务、导致性能或服务部分退化的故障</w:t>
            </w:r>
          </w:p>
        </w:tc>
        <w:tc>
          <w:tcPr>
            <w:tcW w:w="2281" w:type="dxa"/>
            <w:tcBorders>
              <w:top w:val="single" w:color="auto" w:sz="4" w:space="0"/>
              <w:left w:val="single" w:color="auto" w:sz="4" w:space="0"/>
              <w:bottom w:val="single" w:color="auto" w:sz="4" w:space="0"/>
              <w:right w:val="single" w:color="auto" w:sz="4" w:space="0"/>
            </w:tcBorders>
            <w:vAlign w:val="center"/>
          </w:tcPr>
          <w:p w14:paraId="30A6F559">
            <w:pPr>
              <w:rPr>
                <w:rFonts w:hint="eastAsia" w:ascii="宋体" w:hAnsi="宋体" w:cs="宋体"/>
                <w:sz w:val="22"/>
                <w:szCs w:val="22"/>
              </w:rPr>
            </w:pPr>
            <w:r>
              <w:rPr>
                <w:rFonts w:hint="eastAsia" w:ascii="宋体" w:hAnsi="宋体" w:cs="宋体"/>
                <w:sz w:val="22"/>
                <w:szCs w:val="22"/>
              </w:rPr>
              <w:t>断续或间接的影响医院重要生产业务系统功能和服务；系统部分配置修改。</w:t>
            </w:r>
          </w:p>
        </w:tc>
        <w:tc>
          <w:tcPr>
            <w:tcW w:w="1239" w:type="dxa"/>
            <w:tcBorders>
              <w:top w:val="single" w:color="auto" w:sz="4" w:space="0"/>
              <w:left w:val="single" w:color="auto" w:sz="4" w:space="0"/>
              <w:bottom w:val="single" w:color="auto" w:sz="4" w:space="0"/>
              <w:right w:val="single" w:color="auto" w:sz="4" w:space="0"/>
            </w:tcBorders>
            <w:vAlign w:val="center"/>
          </w:tcPr>
          <w:p w14:paraId="6589FBD0">
            <w:pPr>
              <w:jc w:val="left"/>
              <w:rPr>
                <w:rFonts w:hint="eastAsia" w:ascii="宋体" w:hAnsi="宋体" w:cs="宋体"/>
                <w:sz w:val="22"/>
                <w:szCs w:val="22"/>
              </w:rPr>
            </w:pPr>
            <w:r>
              <w:rPr>
                <w:rFonts w:hint="eastAsia" w:ascii="宋体" w:hAnsi="宋体" w:cs="宋体"/>
                <w:sz w:val="22"/>
                <w:szCs w:val="22"/>
              </w:rPr>
              <w:t>立即响应，并根据需要指派专人赶到现场排除故障</w:t>
            </w:r>
          </w:p>
        </w:tc>
        <w:tc>
          <w:tcPr>
            <w:tcW w:w="1608" w:type="dxa"/>
            <w:tcBorders>
              <w:top w:val="single" w:color="auto" w:sz="4" w:space="0"/>
              <w:left w:val="single" w:color="auto" w:sz="4" w:space="0"/>
              <w:bottom w:val="single" w:color="auto" w:sz="4" w:space="0"/>
              <w:right w:val="single" w:color="auto" w:sz="4" w:space="0"/>
            </w:tcBorders>
            <w:vAlign w:val="center"/>
          </w:tcPr>
          <w:p w14:paraId="3112B594">
            <w:pPr>
              <w:jc w:val="left"/>
              <w:rPr>
                <w:rFonts w:hint="eastAsia" w:ascii="宋体" w:hAnsi="宋体" w:cs="宋体"/>
                <w:sz w:val="22"/>
                <w:szCs w:val="22"/>
              </w:rPr>
            </w:pPr>
            <w:r>
              <w:rPr>
                <w:rFonts w:hint="eastAsia" w:ascii="宋体" w:hAnsi="宋体" w:cs="宋体"/>
                <w:sz w:val="22"/>
                <w:szCs w:val="22"/>
              </w:rPr>
              <w:t>10分钟内立即响应，2小时到达现场，8小时内解决故障。</w:t>
            </w:r>
          </w:p>
        </w:tc>
      </w:tr>
      <w:tr w14:paraId="335BC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1253ABC0">
            <w:pPr>
              <w:rPr>
                <w:rFonts w:hint="eastAsia" w:ascii="宋体" w:hAnsi="宋体" w:cs="宋体"/>
                <w:sz w:val="22"/>
                <w:szCs w:val="22"/>
              </w:rPr>
            </w:pPr>
            <w:r>
              <w:rPr>
                <w:rFonts w:hint="eastAsia" w:ascii="宋体" w:hAnsi="宋体" w:cs="宋体"/>
                <w:sz w:val="22"/>
                <w:szCs w:val="22"/>
              </w:rPr>
              <w:t>四级故障</w:t>
            </w:r>
          </w:p>
        </w:tc>
        <w:tc>
          <w:tcPr>
            <w:tcW w:w="2351" w:type="dxa"/>
            <w:tcBorders>
              <w:top w:val="single" w:color="auto" w:sz="4" w:space="0"/>
              <w:left w:val="single" w:color="auto" w:sz="4" w:space="0"/>
              <w:bottom w:val="single" w:color="auto" w:sz="4" w:space="0"/>
              <w:right w:val="single" w:color="auto" w:sz="4" w:space="0"/>
            </w:tcBorders>
            <w:vAlign w:val="center"/>
          </w:tcPr>
          <w:p w14:paraId="7BA63185">
            <w:pPr>
              <w:rPr>
                <w:rFonts w:hint="eastAsia" w:ascii="宋体" w:hAnsi="宋体" w:cs="宋体"/>
                <w:sz w:val="22"/>
                <w:szCs w:val="22"/>
              </w:rPr>
            </w:pPr>
            <w:r>
              <w:rPr>
                <w:rFonts w:hint="eastAsia" w:ascii="宋体" w:hAnsi="宋体" w:cs="宋体"/>
                <w:sz w:val="22"/>
                <w:szCs w:val="22"/>
              </w:rPr>
              <w:t>医院重要生产业务中间件系统与数据库系统运行仅受到有限的影响或未受到严重影响。</w:t>
            </w:r>
          </w:p>
        </w:tc>
        <w:tc>
          <w:tcPr>
            <w:tcW w:w="2281" w:type="dxa"/>
            <w:tcBorders>
              <w:top w:val="single" w:color="auto" w:sz="4" w:space="0"/>
              <w:left w:val="single" w:color="auto" w:sz="4" w:space="0"/>
              <w:bottom w:val="single" w:color="auto" w:sz="4" w:space="0"/>
              <w:right w:val="single" w:color="auto" w:sz="4" w:space="0"/>
            </w:tcBorders>
            <w:vAlign w:val="center"/>
          </w:tcPr>
          <w:p w14:paraId="04EF5A8F">
            <w:pPr>
              <w:rPr>
                <w:rFonts w:hint="eastAsia" w:ascii="宋体" w:hAnsi="宋体" w:cs="宋体"/>
                <w:sz w:val="22"/>
                <w:szCs w:val="22"/>
              </w:rPr>
            </w:pPr>
            <w:r>
              <w:rPr>
                <w:rFonts w:hint="eastAsia" w:ascii="宋体" w:hAnsi="宋体" w:cs="宋体"/>
                <w:sz w:val="22"/>
                <w:szCs w:val="22"/>
              </w:rPr>
              <w:t>对医院重要生产业务数据库系统的性能和功能产生有限的影响或未产生直接影响的缺陷。</w:t>
            </w:r>
          </w:p>
        </w:tc>
        <w:tc>
          <w:tcPr>
            <w:tcW w:w="1239" w:type="dxa"/>
            <w:tcBorders>
              <w:top w:val="single" w:color="auto" w:sz="4" w:space="0"/>
              <w:left w:val="single" w:color="auto" w:sz="4" w:space="0"/>
              <w:bottom w:val="single" w:color="auto" w:sz="4" w:space="0"/>
              <w:right w:val="single" w:color="auto" w:sz="4" w:space="0"/>
            </w:tcBorders>
            <w:vAlign w:val="center"/>
          </w:tcPr>
          <w:p w14:paraId="2697D5BE">
            <w:pPr>
              <w:jc w:val="left"/>
              <w:rPr>
                <w:rFonts w:hint="eastAsia" w:ascii="宋体" w:hAnsi="宋体" w:cs="宋体"/>
                <w:sz w:val="22"/>
                <w:szCs w:val="22"/>
              </w:rPr>
            </w:pPr>
            <w:r>
              <w:rPr>
                <w:rFonts w:hint="eastAsia" w:ascii="宋体" w:hAnsi="宋体" w:cs="宋体"/>
                <w:sz w:val="22"/>
                <w:szCs w:val="22"/>
              </w:rPr>
              <w:t>立即响应，并根据需要指派专人赶到现场排除故障</w:t>
            </w:r>
          </w:p>
        </w:tc>
        <w:tc>
          <w:tcPr>
            <w:tcW w:w="1608" w:type="dxa"/>
            <w:tcBorders>
              <w:top w:val="single" w:color="auto" w:sz="4" w:space="0"/>
              <w:left w:val="single" w:color="auto" w:sz="4" w:space="0"/>
              <w:bottom w:val="single" w:color="auto" w:sz="4" w:space="0"/>
              <w:right w:val="single" w:color="auto" w:sz="4" w:space="0"/>
            </w:tcBorders>
            <w:vAlign w:val="center"/>
          </w:tcPr>
          <w:p w14:paraId="6665B0E5">
            <w:pPr>
              <w:jc w:val="left"/>
              <w:rPr>
                <w:rFonts w:hint="eastAsia" w:ascii="宋体" w:hAnsi="宋体" w:cs="宋体"/>
                <w:sz w:val="22"/>
                <w:szCs w:val="22"/>
              </w:rPr>
            </w:pPr>
            <w:r>
              <w:rPr>
                <w:rFonts w:hint="eastAsia" w:ascii="宋体" w:hAnsi="宋体" w:cs="宋体"/>
                <w:sz w:val="22"/>
                <w:szCs w:val="22"/>
              </w:rPr>
              <w:t>10分钟内立即响应，10小时内解决故障。</w:t>
            </w:r>
          </w:p>
        </w:tc>
      </w:tr>
    </w:tbl>
    <w:p w14:paraId="676C8A1E">
      <w:pPr>
        <w:pStyle w:val="5"/>
        <w:ind w:left="993"/>
        <w:rPr>
          <w:b/>
          <w:sz w:val="24"/>
          <w:szCs w:val="24"/>
        </w:rPr>
      </w:pPr>
    </w:p>
    <w:p w14:paraId="1D64ED26">
      <w:pPr>
        <w:spacing w:line="360" w:lineRule="auto"/>
        <w:ind w:firstLine="420"/>
        <w:rPr>
          <w:rFonts w:hint="eastAsia" w:ascii="宋体" w:hAnsi="宋体" w:cs="宋体"/>
          <w:b/>
          <w:szCs w:val="21"/>
        </w:rPr>
        <w:sectPr>
          <w:headerReference r:id="rId3" w:type="default"/>
          <w:footerReference r:id="rId4" w:type="default"/>
          <w:pgSz w:w="11906" w:h="16838"/>
          <w:pgMar w:top="1440" w:right="1286" w:bottom="1440" w:left="993" w:header="851" w:footer="992" w:gutter="0"/>
          <w:cols w:space="720" w:num="1"/>
          <w:docGrid w:type="lines" w:linePitch="312" w:charSpace="0"/>
        </w:sectPr>
      </w:pPr>
    </w:p>
    <w:p w14:paraId="4AA782DF">
      <w:pPr>
        <w:pStyle w:val="5"/>
        <w:numPr>
          <w:ilvl w:val="0"/>
          <w:numId w:val="1"/>
        </w:numPr>
        <w:tabs>
          <w:tab w:val="left" w:pos="540"/>
        </w:tabs>
        <w:adjustRightInd w:val="0"/>
        <w:snapToGrid w:val="0"/>
        <w:spacing w:line="480" w:lineRule="exact"/>
        <w:rPr>
          <w:rFonts w:hint="eastAsia" w:hAnsi="宋体"/>
          <w:b/>
          <w:sz w:val="28"/>
          <w:szCs w:val="28"/>
        </w:rPr>
      </w:pPr>
      <w:r>
        <w:rPr>
          <w:rFonts w:hint="eastAsia" w:hAnsi="宋体"/>
          <w:b/>
          <w:sz w:val="28"/>
          <w:szCs w:val="28"/>
        </w:rPr>
        <w:t>商务条款</w:t>
      </w:r>
    </w:p>
    <w:p w14:paraId="73333F8E">
      <w:pPr>
        <w:tabs>
          <w:tab w:val="left" w:pos="540"/>
        </w:tabs>
        <w:adjustRightInd w:val="0"/>
        <w:snapToGrid w:val="0"/>
        <w:spacing w:line="480" w:lineRule="exact"/>
        <w:ind w:firstLine="482" w:firstLineChars="200"/>
        <w:rPr>
          <w:rFonts w:hint="eastAsia" w:ascii="宋体" w:hAnsi="宋体" w:cs="Courier New"/>
          <w:b/>
          <w:sz w:val="24"/>
        </w:rPr>
      </w:pPr>
      <w:r>
        <w:rPr>
          <w:rFonts w:hint="eastAsia" w:ascii="宋体" w:hAnsi="宋体" w:cs="Courier New"/>
          <w:b/>
          <w:sz w:val="24"/>
        </w:rPr>
        <w:t>（一）服务期限</w:t>
      </w:r>
    </w:p>
    <w:p w14:paraId="227FA813">
      <w:pPr>
        <w:tabs>
          <w:tab w:val="left" w:pos="540"/>
        </w:tabs>
        <w:adjustRightInd w:val="0"/>
        <w:snapToGrid w:val="0"/>
        <w:spacing w:line="480" w:lineRule="exact"/>
        <w:ind w:firstLine="480" w:firstLineChars="200"/>
        <w:rPr>
          <w:rFonts w:hint="eastAsia" w:ascii="宋体" w:hAnsi="宋体" w:cs="宋体"/>
          <w:kern w:val="0"/>
          <w:sz w:val="24"/>
        </w:rPr>
      </w:pPr>
      <w:r>
        <w:rPr>
          <w:rFonts w:hint="eastAsia" w:ascii="宋体" w:hAnsi="宋体" w:cs="宋体"/>
          <w:kern w:val="0"/>
          <w:sz w:val="24"/>
        </w:rPr>
        <w:t>合同签订之日起1年，即365个日历日；</w:t>
      </w:r>
    </w:p>
    <w:p w14:paraId="6103C00B">
      <w:pPr>
        <w:spacing w:line="480" w:lineRule="exact"/>
        <w:ind w:firstLine="480" w:firstLineChars="200"/>
        <w:rPr>
          <w:rFonts w:hint="eastAsia" w:ascii="宋体" w:hAnsi="宋体" w:cs="宋体"/>
          <w:kern w:val="0"/>
          <w:sz w:val="24"/>
        </w:rPr>
      </w:pPr>
      <w:r>
        <w:rPr>
          <w:rFonts w:hint="eastAsia" w:ascii="宋体" w:hAnsi="宋体" w:cs="宋体"/>
          <w:kern w:val="0"/>
          <w:sz w:val="24"/>
        </w:rPr>
        <w:t>本项目服务期满后，采购单位可根据中标供应商履约情况确定合同期限是否延长，但最长不超过36个月（第一年为本次招标的中标服务期限），一年后根据履约满意度，决定是否续签，合同一年一签。</w:t>
      </w:r>
    </w:p>
    <w:p w14:paraId="20D9CE4F">
      <w:pPr>
        <w:tabs>
          <w:tab w:val="left" w:pos="540"/>
        </w:tabs>
        <w:adjustRightInd w:val="0"/>
        <w:snapToGrid w:val="0"/>
        <w:spacing w:line="480" w:lineRule="exact"/>
        <w:ind w:firstLine="482" w:firstLineChars="200"/>
        <w:rPr>
          <w:rFonts w:hint="eastAsia" w:ascii="宋体" w:hAnsi="宋体" w:cs="Courier New"/>
          <w:b/>
          <w:sz w:val="24"/>
        </w:rPr>
      </w:pPr>
      <w:r>
        <w:rPr>
          <w:rFonts w:hint="eastAsia" w:ascii="宋体" w:hAnsi="宋体" w:cs="Courier New"/>
          <w:b/>
          <w:sz w:val="24"/>
        </w:rPr>
        <w:t>（二）付款方式</w:t>
      </w:r>
    </w:p>
    <w:p w14:paraId="0E5F122F">
      <w:pPr>
        <w:spacing w:line="480" w:lineRule="exact"/>
        <w:ind w:firstLine="480" w:firstLineChars="200"/>
        <w:rPr>
          <w:rFonts w:hint="eastAsia" w:ascii="宋体" w:hAnsi="宋体" w:cs="宋体"/>
          <w:kern w:val="0"/>
          <w:sz w:val="24"/>
        </w:rPr>
      </w:pPr>
      <w:r>
        <w:rPr>
          <w:rFonts w:hint="eastAsia" w:ascii="宋体" w:hAnsi="宋体" w:cs="宋体"/>
          <w:kern w:val="0"/>
          <w:sz w:val="24"/>
        </w:rPr>
        <w:t>1、预付款：采购人与中标单位签订合同，中标单位提供正规等额发票后，15个工作日内采购人向中标单位支付合同价款50%款项；</w:t>
      </w:r>
    </w:p>
    <w:p w14:paraId="691A8036">
      <w:pPr>
        <w:spacing w:line="480" w:lineRule="exact"/>
        <w:ind w:firstLine="480" w:firstLineChars="200"/>
        <w:rPr>
          <w:rFonts w:hint="eastAsia" w:ascii="宋体" w:hAnsi="宋体" w:cs="宋体"/>
          <w:kern w:val="0"/>
          <w:sz w:val="24"/>
        </w:rPr>
      </w:pPr>
      <w:r>
        <w:rPr>
          <w:rFonts w:hint="eastAsia" w:ascii="宋体" w:hAnsi="宋体" w:cs="宋体"/>
          <w:kern w:val="0"/>
          <w:sz w:val="24"/>
        </w:rPr>
        <w:t>2、尾款：服务到期并验收合格，中标单位提供正规等额发票后， 15个工作日内采购人向中标单位支付合同价款50%款。采购人需对中标单位进行合同期内满意度评价并决定是否续签合同。</w:t>
      </w:r>
    </w:p>
    <w:p w14:paraId="67C67F01">
      <w:pPr>
        <w:spacing w:line="480" w:lineRule="exact"/>
        <w:ind w:firstLine="480" w:firstLineChars="200"/>
        <w:rPr>
          <w:sz w:val="24"/>
        </w:rPr>
      </w:pPr>
      <w:r>
        <w:rPr>
          <w:rFonts w:hint="eastAsia" w:ascii="宋体" w:hAnsi="宋体" w:cs="宋体"/>
          <w:kern w:val="0"/>
          <w:sz w:val="24"/>
        </w:rPr>
        <w:t>3、在不损害双方权益的情况下，中标方无条件配合采购方的付款要求。</w:t>
      </w:r>
    </w:p>
    <w:p w14:paraId="3CD8CF60">
      <w:pPr>
        <w:tabs>
          <w:tab w:val="left" w:pos="540"/>
        </w:tabs>
        <w:adjustRightInd w:val="0"/>
        <w:snapToGrid w:val="0"/>
        <w:spacing w:line="480" w:lineRule="exact"/>
        <w:ind w:firstLine="482" w:firstLineChars="200"/>
        <w:rPr>
          <w:rFonts w:hint="eastAsia" w:ascii="宋体" w:hAnsi="宋体" w:cs="Courier New"/>
          <w:b/>
          <w:sz w:val="24"/>
        </w:rPr>
      </w:pPr>
      <w:r>
        <w:rPr>
          <w:rFonts w:hint="eastAsia" w:ascii="宋体" w:hAnsi="宋体" w:cs="Courier New"/>
          <w:b/>
          <w:sz w:val="24"/>
        </w:rPr>
        <w:t>（三）售后服务要求</w:t>
      </w:r>
    </w:p>
    <w:p w14:paraId="71BB1782">
      <w:pPr>
        <w:spacing w:line="480" w:lineRule="exact"/>
        <w:ind w:firstLine="480" w:firstLineChars="200"/>
        <w:rPr>
          <w:rFonts w:hint="eastAsia" w:ascii="宋体" w:hAnsi="宋体" w:cs="宋体"/>
          <w:kern w:val="0"/>
          <w:sz w:val="24"/>
        </w:rPr>
      </w:pPr>
      <w:r>
        <w:rPr>
          <w:rFonts w:hint="eastAsia" w:ascii="宋体" w:hAnsi="宋体" w:cs="宋体"/>
          <w:kern w:val="0"/>
          <w:sz w:val="24"/>
        </w:rPr>
        <w:t>1、签订合同后，一周内中标方应安排工程师进场提供服务。</w:t>
      </w:r>
    </w:p>
    <w:p w14:paraId="03065B3E">
      <w:pPr>
        <w:spacing w:line="480" w:lineRule="exact"/>
        <w:ind w:firstLine="480" w:firstLineChars="200"/>
        <w:rPr>
          <w:rFonts w:hint="eastAsia" w:ascii="宋体" w:hAnsi="宋体" w:cs="宋体"/>
          <w:kern w:val="0"/>
          <w:sz w:val="24"/>
        </w:rPr>
      </w:pPr>
      <w:r>
        <w:rPr>
          <w:rFonts w:hint="eastAsia" w:ascii="宋体" w:hAnsi="宋体" w:cs="宋体"/>
          <w:kern w:val="0"/>
          <w:sz w:val="24"/>
        </w:rPr>
        <w:t>2、如在服务时期内中标方安排的工程师服务质量不能满足招标方要求，招标方有权要求中标方及时更换，并经招标方面试同意。</w:t>
      </w:r>
    </w:p>
    <w:p w14:paraId="1A6D43A2">
      <w:pPr>
        <w:spacing w:line="480" w:lineRule="exact"/>
        <w:ind w:firstLine="480" w:firstLineChars="200"/>
        <w:rPr>
          <w:rFonts w:hint="eastAsia" w:ascii="宋体" w:hAnsi="宋体" w:cs="宋体"/>
          <w:kern w:val="0"/>
          <w:sz w:val="24"/>
        </w:rPr>
      </w:pPr>
      <w:r>
        <w:rPr>
          <w:rFonts w:hint="eastAsia" w:ascii="宋体" w:hAnsi="宋体" w:cs="宋体"/>
          <w:kern w:val="0"/>
          <w:sz w:val="24"/>
        </w:rPr>
        <w:t>3、在服务期内，对于用户使用过程中遇到的问题，如用户咨询现场服务工程师调试不能解决，将派认证专家级工程师赶赴现场解决技术问题，为用户进行现场技术支持。</w:t>
      </w:r>
    </w:p>
    <w:p w14:paraId="6DFA1C6F">
      <w:pPr>
        <w:spacing w:line="480" w:lineRule="exact"/>
        <w:ind w:firstLine="480" w:firstLineChars="200"/>
        <w:rPr>
          <w:rFonts w:hint="eastAsia" w:ascii="宋体" w:hAnsi="宋体" w:cs="宋体"/>
          <w:kern w:val="0"/>
          <w:sz w:val="24"/>
        </w:rPr>
      </w:pPr>
      <w:r>
        <w:rPr>
          <w:rFonts w:hint="eastAsia" w:ascii="宋体" w:hAnsi="宋体" w:cs="宋体"/>
          <w:kern w:val="0"/>
          <w:sz w:val="24"/>
        </w:rPr>
        <w:t>4、在服务期内，由现场服务工程师提供驻场服务及二线工程师远程技术协助服务；</w:t>
      </w:r>
    </w:p>
    <w:p w14:paraId="697447BA">
      <w:pPr>
        <w:spacing w:line="480" w:lineRule="exact"/>
        <w:ind w:firstLine="480" w:firstLineChars="200"/>
        <w:rPr>
          <w:rFonts w:hint="eastAsia" w:ascii="宋体" w:hAnsi="宋体" w:cs="宋体"/>
          <w:kern w:val="0"/>
          <w:sz w:val="24"/>
        </w:rPr>
      </w:pPr>
      <w:r>
        <w:rPr>
          <w:rFonts w:hint="eastAsia" w:ascii="宋体" w:hAnsi="宋体" w:cs="宋体"/>
          <w:kern w:val="0"/>
          <w:sz w:val="24"/>
        </w:rPr>
        <w:t>5、提供安全设备授权在升级服务期内，对软件内核进行版本升级及更新。</w:t>
      </w:r>
    </w:p>
    <w:p w14:paraId="35EB0EC5">
      <w:pPr>
        <w:tabs>
          <w:tab w:val="left" w:pos="540"/>
        </w:tabs>
        <w:adjustRightInd w:val="0"/>
        <w:snapToGrid w:val="0"/>
        <w:spacing w:line="480" w:lineRule="exact"/>
        <w:ind w:firstLine="482" w:firstLineChars="200"/>
        <w:rPr>
          <w:rFonts w:hint="eastAsia" w:ascii="宋体" w:hAnsi="宋体" w:cs="Courier New"/>
          <w:b/>
          <w:sz w:val="24"/>
        </w:rPr>
      </w:pPr>
      <w:r>
        <w:rPr>
          <w:rFonts w:hint="eastAsia" w:ascii="宋体" w:hAnsi="宋体" w:cs="Courier New"/>
          <w:b/>
          <w:sz w:val="24"/>
        </w:rPr>
        <w:t>（四）报价要求</w:t>
      </w:r>
    </w:p>
    <w:p w14:paraId="4A017F0C">
      <w:pPr>
        <w:pStyle w:val="13"/>
        <w:spacing w:line="480" w:lineRule="exact"/>
        <w:ind w:firstLine="480"/>
        <w:rPr>
          <w:rFonts w:hint="eastAsia" w:ascii="宋体" w:hAnsi="宋体" w:cs="宋体"/>
          <w:sz w:val="24"/>
          <w:szCs w:val="24"/>
        </w:rPr>
      </w:pPr>
      <w:r>
        <w:rPr>
          <w:rFonts w:hint="eastAsia" w:ascii="宋体" w:hAnsi="宋体" w:cs="宋体"/>
          <w:sz w:val="24"/>
          <w:szCs w:val="24"/>
        </w:rPr>
        <w:t>投标总价（人民币）须是完成该服务项目的一切费用总和。</w:t>
      </w:r>
    </w:p>
    <w:p w14:paraId="17AA7650">
      <w:pPr>
        <w:pStyle w:val="14"/>
        <w:spacing w:line="480" w:lineRule="exact"/>
      </w:pPr>
    </w:p>
    <w:p w14:paraId="25AC7215">
      <w:pPr>
        <w:pStyle w:val="14"/>
        <w:spacing w:line="480" w:lineRule="exact"/>
      </w:pPr>
    </w:p>
    <w:p w14:paraId="595AA487">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12E9">
    <w:pPr>
      <w:pStyle w:val="6"/>
      <w:jc w:val="center"/>
    </w:pPr>
    <w:r>
      <w:rPr>
        <w:rFonts w:hint="eastAsia"/>
      </w:rPr>
      <w:t>第</w:t>
    </w:r>
    <w:r>
      <w:fldChar w:fldCharType="begin"/>
    </w:r>
    <w:r>
      <w:rPr>
        <w:rStyle w:val="11"/>
      </w:rPr>
      <w:instrText xml:space="preserve"> PAGE </w:instrText>
    </w:r>
    <w:r>
      <w:fldChar w:fldCharType="separate"/>
    </w:r>
    <w:r>
      <w:rPr>
        <w:rStyle w:val="11"/>
      </w:rPr>
      <w:t>7</w:t>
    </w:r>
    <w:r>
      <w:fldChar w:fldCharType="end"/>
    </w:r>
    <w:r>
      <w:rPr>
        <w:rFonts w:hint="eastAsia"/>
      </w:rPr>
      <w:t>页，共</w:t>
    </w:r>
    <w:r>
      <w:fldChar w:fldCharType="begin"/>
    </w:r>
    <w:r>
      <w:rPr>
        <w:rStyle w:val="11"/>
      </w:rPr>
      <w:instrText xml:space="preserve"> NUMPAGES </w:instrText>
    </w:r>
    <w:r>
      <w:fldChar w:fldCharType="separate"/>
    </w:r>
    <w:r>
      <w:rPr>
        <w:rStyle w:val="11"/>
      </w:rPr>
      <w:t>13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E38F">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9C4F1"/>
    <w:multiLevelType w:val="singleLevel"/>
    <w:tmpl w:val="FCA9C4F1"/>
    <w:lvl w:ilvl="0" w:tentative="0">
      <w:start w:val="1"/>
      <w:numFmt w:val="decimal"/>
      <w:lvlText w:val="%1)"/>
      <w:lvlJc w:val="left"/>
      <w:pPr>
        <w:ind w:left="425" w:hanging="425"/>
      </w:pPr>
      <w:rPr>
        <w:rFonts w:hint="default"/>
      </w:rPr>
    </w:lvl>
  </w:abstractNum>
  <w:abstractNum w:abstractNumId="1">
    <w:nsid w:val="25AC778E"/>
    <w:multiLevelType w:val="multilevel"/>
    <w:tmpl w:val="25AC778E"/>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713CB3F"/>
    <w:multiLevelType w:val="singleLevel"/>
    <w:tmpl w:val="4713CB3F"/>
    <w:lvl w:ilvl="0" w:tentative="0">
      <w:start w:val="1"/>
      <w:numFmt w:val="chineseCounting"/>
      <w:suff w:val="nothing"/>
      <w:lvlText w:val="（%1）"/>
      <w:lvlJc w:val="left"/>
      <w:pPr>
        <w:ind w:left="573" w:firstLine="420"/>
      </w:pPr>
      <w:rPr>
        <w:rFonts w:hint="eastAsia"/>
      </w:rPr>
    </w:lvl>
  </w:abstractNum>
  <w:abstractNum w:abstractNumId="3">
    <w:nsid w:val="651BA3CE"/>
    <w:multiLevelType w:val="singleLevel"/>
    <w:tmpl w:val="651BA3C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753F3C"/>
    <w:rsid w:val="000F234B"/>
    <w:rsid w:val="003769B5"/>
    <w:rsid w:val="00A645AE"/>
    <w:rsid w:val="00AE6B82"/>
    <w:rsid w:val="0BB55B63"/>
    <w:rsid w:val="14357918"/>
    <w:rsid w:val="1B1F5DB7"/>
    <w:rsid w:val="1B3D6F80"/>
    <w:rsid w:val="2B14230A"/>
    <w:rsid w:val="32357318"/>
    <w:rsid w:val="34983880"/>
    <w:rsid w:val="358838F4"/>
    <w:rsid w:val="3C4252ED"/>
    <w:rsid w:val="3E2F1D93"/>
    <w:rsid w:val="41646627"/>
    <w:rsid w:val="4E753F3C"/>
    <w:rsid w:val="50272CF6"/>
    <w:rsid w:val="533F163E"/>
    <w:rsid w:val="5A0A227A"/>
    <w:rsid w:val="7400051E"/>
    <w:rsid w:val="752244C4"/>
    <w:rsid w:val="7992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b/>
      <w:bCs/>
      <w:sz w:val="24"/>
    </w:rPr>
  </w:style>
  <w:style w:type="paragraph" w:styleId="4">
    <w:name w:val="Body Text 2"/>
    <w:basedOn w:val="1"/>
    <w:qFormat/>
    <w:uiPriority w:val="0"/>
    <w:pPr>
      <w:spacing w:line="360" w:lineRule="auto"/>
    </w:pPr>
    <w:rPr>
      <w:sz w:val="24"/>
    </w:r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styleId="12">
    <w:name w:val="List Paragraph"/>
    <w:basedOn w:val="1"/>
    <w:qFormat/>
    <w:uiPriority w:val="0"/>
    <w:pPr>
      <w:ind w:firstLine="420" w:firstLineChars="200"/>
    </w:pPr>
    <w:rPr>
      <w:rFonts w:eastAsia="黑体"/>
      <w:bCs/>
      <w:sz w:val="30"/>
      <w:szCs w:val="30"/>
    </w:rPr>
  </w:style>
  <w:style w:type="paragraph" w:customStyle="1" w:styleId="1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4">
    <w:name w:val="表格文字"/>
    <w:basedOn w:val="1"/>
    <w:unhideWhenUsed/>
    <w:qFormat/>
    <w:uiPriority w:val="0"/>
    <w:pPr>
      <w:jc w:val="left"/>
    </w:pPr>
    <w:rPr>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2775</Words>
  <Characters>2984</Characters>
  <Lines>133</Lines>
  <Paragraphs>125</Paragraphs>
  <TotalTime>656</TotalTime>
  <ScaleCrop>false</ScaleCrop>
  <LinksUpToDate>false</LinksUpToDate>
  <CharactersWithSpaces>3022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2026-01-13T12:01:00Z</dcterms:created>
  <dc:creator>李春霞</dc:creator>
  <cp:lastModifiedBy>水滴</cp:lastModifiedBy>
  <dcterms:modified xsi:type="dcterms:W3CDTF">2026-04-09T01:21:38Z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8C18BC1E85E5472FAD0D11BCA76CA989_13</vt:lpwstr>
  </property>
  <property fmtid="{D5CDD505-2E9C-101B-9397-08002B2CF9AE}" pid="4" name="KSOTemplateDocerSaveRecord">
    <vt:lpwstr>eyJoZGlkIjoiODk3YTdjN2FjMzM0MTFhYzgyOGFlYjJiOTBlNzNkY2QiLCJ1c2VySWQiOiIxNzA1OTM4MTMxIn0=</vt:lpwstr>
  </property>
</Properties>
</file>