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9318E" w14:textId="05C8220F" w:rsidR="00465D1D" w:rsidRDefault="009F3092">
      <w:pPr>
        <w:jc w:val="center"/>
        <w:rPr>
          <w:b/>
          <w:sz w:val="32"/>
          <w:szCs w:val="32"/>
        </w:rPr>
      </w:pPr>
      <w:r>
        <w:rPr>
          <w:rFonts w:hint="eastAsia"/>
          <w:b/>
          <w:sz w:val="32"/>
          <w:szCs w:val="32"/>
        </w:rPr>
        <w:t>南方科技大学医五</w:t>
      </w:r>
      <w:r>
        <w:rPr>
          <w:b/>
          <w:sz w:val="32"/>
          <w:szCs w:val="32"/>
        </w:rPr>
        <w:t>楼实验室</w:t>
      </w:r>
      <w:r w:rsidR="00964977">
        <w:rPr>
          <w:rFonts w:hint="eastAsia"/>
          <w:b/>
          <w:sz w:val="32"/>
          <w:szCs w:val="32"/>
        </w:rPr>
        <w:t>采购需求清单</w:t>
      </w:r>
    </w:p>
    <w:p w14:paraId="6A667D68" w14:textId="21DC8D74" w:rsidR="00465D1D" w:rsidRDefault="00964977">
      <w:pPr>
        <w:jc w:val="center"/>
        <w:rPr>
          <w:rFonts w:ascii="仿宋" w:eastAsia="仿宋" w:hAnsi="仿宋"/>
          <w:sz w:val="28"/>
          <w:szCs w:val="28"/>
        </w:rPr>
      </w:pPr>
      <w:r w:rsidRPr="009F3092">
        <w:rPr>
          <w:rFonts w:ascii="仿宋" w:eastAsia="仿宋" w:hAnsi="仿宋"/>
          <w:sz w:val="28"/>
          <w:szCs w:val="28"/>
        </w:rPr>
        <w:t>拟购置</w:t>
      </w:r>
      <w:r w:rsidR="001A41CE" w:rsidRPr="009F3092">
        <w:rPr>
          <w:rFonts w:ascii="仿宋" w:eastAsia="仿宋" w:hAnsi="仿宋" w:hint="eastAsia"/>
          <w:sz w:val="28"/>
          <w:szCs w:val="28"/>
        </w:rPr>
        <w:t>英</w:t>
      </w:r>
      <w:r w:rsidR="001A41CE" w:rsidRPr="009F3092">
        <w:rPr>
          <w:rFonts w:ascii="仿宋" w:eastAsia="仿宋" w:hAnsi="仿宋"/>
          <w:sz w:val="28"/>
          <w:szCs w:val="28"/>
        </w:rPr>
        <w:t>华特压缩</w:t>
      </w:r>
      <w:r>
        <w:rPr>
          <w:rFonts w:ascii="仿宋" w:eastAsia="仿宋" w:hAnsi="仿宋" w:hint="eastAsia"/>
          <w:sz w:val="28"/>
          <w:szCs w:val="28"/>
        </w:rPr>
        <w:t>，采购预算为</w:t>
      </w:r>
      <w:r w:rsidR="009F3092">
        <w:rPr>
          <w:rFonts w:ascii="仿宋" w:eastAsia="仿宋" w:hAnsi="仿宋" w:hint="eastAsia"/>
          <w:sz w:val="28"/>
          <w:szCs w:val="28"/>
        </w:rPr>
        <w:t>8500</w:t>
      </w:r>
      <w:r>
        <w:rPr>
          <w:rFonts w:ascii="仿宋" w:eastAsia="仿宋" w:hAnsi="仿宋"/>
          <w:sz w:val="28"/>
          <w:szCs w:val="28"/>
        </w:rPr>
        <w:t>元，</w:t>
      </w:r>
      <w:r>
        <w:rPr>
          <w:rFonts w:ascii="仿宋" w:eastAsia="仿宋" w:hAnsi="仿宋" w:hint="eastAsia"/>
          <w:sz w:val="28"/>
          <w:szCs w:val="28"/>
        </w:rPr>
        <w:t>详见下表。</w:t>
      </w:r>
    </w:p>
    <w:tbl>
      <w:tblPr>
        <w:tblStyle w:val="a7"/>
        <w:tblW w:w="9027" w:type="dxa"/>
        <w:tblInd w:w="-265" w:type="dxa"/>
        <w:tblLayout w:type="fixed"/>
        <w:tblLook w:val="04A0" w:firstRow="1" w:lastRow="0" w:firstColumn="1" w:lastColumn="0" w:noHBand="0" w:noVBand="1"/>
      </w:tblPr>
      <w:tblGrid>
        <w:gridCol w:w="1811"/>
        <w:gridCol w:w="2925"/>
        <w:gridCol w:w="1344"/>
        <w:gridCol w:w="831"/>
        <w:gridCol w:w="1089"/>
        <w:gridCol w:w="1027"/>
      </w:tblGrid>
      <w:tr w:rsidR="00465D1D" w14:paraId="2B2198E4" w14:textId="77777777">
        <w:trPr>
          <w:trHeight w:val="735"/>
        </w:trPr>
        <w:tc>
          <w:tcPr>
            <w:tcW w:w="1811" w:type="dxa"/>
            <w:vAlign w:val="center"/>
          </w:tcPr>
          <w:p w14:paraId="7ED894A9" w14:textId="77777777" w:rsidR="00465D1D" w:rsidRDefault="00964977">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商品名称</w:t>
            </w:r>
          </w:p>
        </w:tc>
        <w:tc>
          <w:tcPr>
            <w:tcW w:w="2925" w:type="dxa"/>
            <w:vAlign w:val="center"/>
          </w:tcPr>
          <w:p w14:paraId="1535406B" w14:textId="77777777" w:rsidR="00465D1D" w:rsidRDefault="00964977">
            <w:pPr>
              <w:jc w:val="center"/>
              <w:rPr>
                <w:rFonts w:ascii="Times New Roman" w:eastAsia="宋体" w:hAnsi="Times New Roman" w:cs="Times New Roman"/>
                <w:b/>
                <w:sz w:val="22"/>
                <w:szCs w:val="28"/>
              </w:rPr>
            </w:pPr>
            <w:r>
              <w:rPr>
                <w:rFonts w:ascii="Times New Roman" w:eastAsia="宋体" w:hAnsi="Times New Roman" w:cs="Times New Roman" w:hint="eastAsia"/>
                <w:b/>
                <w:sz w:val="22"/>
                <w:szCs w:val="28"/>
              </w:rPr>
              <w:t>规格参数</w:t>
            </w:r>
          </w:p>
        </w:tc>
        <w:tc>
          <w:tcPr>
            <w:tcW w:w="1344" w:type="dxa"/>
            <w:vAlign w:val="center"/>
          </w:tcPr>
          <w:p w14:paraId="28E45DEF" w14:textId="77777777" w:rsidR="00465D1D" w:rsidRDefault="00964977">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预算</w:t>
            </w:r>
          </w:p>
          <w:p w14:paraId="55CC0E3B" w14:textId="77777777" w:rsidR="00465D1D" w:rsidRDefault="00964977">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单价（元）</w:t>
            </w:r>
          </w:p>
        </w:tc>
        <w:tc>
          <w:tcPr>
            <w:tcW w:w="831" w:type="dxa"/>
            <w:vAlign w:val="center"/>
          </w:tcPr>
          <w:p w14:paraId="104ACA93" w14:textId="77777777" w:rsidR="00465D1D" w:rsidRDefault="00964977">
            <w:pPr>
              <w:jc w:val="center"/>
              <w:rPr>
                <w:rFonts w:ascii="Times New Roman" w:eastAsia="宋体" w:hAnsi="Times New Roman" w:cs="Times New Roman"/>
                <w:b/>
                <w:sz w:val="22"/>
                <w:szCs w:val="28"/>
              </w:rPr>
            </w:pPr>
            <w:r>
              <w:rPr>
                <w:rFonts w:ascii="Times New Roman" w:eastAsia="宋体" w:hAnsi="Times New Roman" w:cs="Times New Roman"/>
                <w:b/>
                <w:sz w:val="22"/>
                <w:szCs w:val="28"/>
              </w:rPr>
              <w:t>数量</w:t>
            </w:r>
          </w:p>
        </w:tc>
        <w:tc>
          <w:tcPr>
            <w:tcW w:w="1089" w:type="dxa"/>
            <w:vAlign w:val="center"/>
          </w:tcPr>
          <w:p w14:paraId="204A146A" w14:textId="77777777" w:rsidR="00465D1D" w:rsidRDefault="00964977">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单位</w:t>
            </w:r>
          </w:p>
        </w:tc>
        <w:tc>
          <w:tcPr>
            <w:tcW w:w="1027" w:type="dxa"/>
            <w:vAlign w:val="center"/>
          </w:tcPr>
          <w:p w14:paraId="54FDE406" w14:textId="77777777" w:rsidR="00465D1D" w:rsidRDefault="00964977">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金额（元）</w:t>
            </w:r>
          </w:p>
        </w:tc>
      </w:tr>
      <w:tr w:rsidR="00465D1D" w14:paraId="1ED9DBD3" w14:textId="77777777">
        <w:trPr>
          <w:trHeight w:val="737"/>
        </w:trPr>
        <w:tc>
          <w:tcPr>
            <w:tcW w:w="1811" w:type="dxa"/>
            <w:vAlign w:val="center"/>
          </w:tcPr>
          <w:p w14:paraId="061558B2" w14:textId="22D502EE" w:rsidR="00465D1D" w:rsidRDefault="001A41CE">
            <w:pPr>
              <w:jc w:val="center"/>
              <w:rPr>
                <w:rFonts w:ascii="宋体" w:eastAsia="宋体" w:hAnsi="宋体" w:cs="宋体" w:hint="eastAsia"/>
                <w:sz w:val="20"/>
                <w:szCs w:val="24"/>
              </w:rPr>
            </w:pPr>
            <w:r>
              <w:rPr>
                <w:rFonts w:ascii="仿宋" w:eastAsia="仿宋" w:hAnsi="仿宋" w:hint="eastAsia"/>
                <w:sz w:val="30"/>
                <w:szCs w:val="30"/>
              </w:rPr>
              <w:t>英</w:t>
            </w:r>
            <w:r>
              <w:rPr>
                <w:rFonts w:ascii="仿宋" w:eastAsia="仿宋" w:hAnsi="仿宋"/>
                <w:sz w:val="30"/>
                <w:szCs w:val="30"/>
              </w:rPr>
              <w:t>华特压缩机</w:t>
            </w:r>
          </w:p>
        </w:tc>
        <w:tc>
          <w:tcPr>
            <w:tcW w:w="2925" w:type="dxa"/>
            <w:vAlign w:val="center"/>
          </w:tcPr>
          <w:p w14:paraId="7036CBDB" w14:textId="7F6EE9F7" w:rsidR="00465D1D" w:rsidRPr="009F3092" w:rsidRDefault="001A41CE" w:rsidP="001A41CE">
            <w:pPr>
              <w:ind w:firstLineChars="150" w:firstLine="420"/>
              <w:rPr>
                <w:rFonts w:ascii="宋体" w:eastAsia="宋体" w:hAnsi="宋体" w:cs="宋体" w:hint="eastAsia"/>
                <w:sz w:val="28"/>
                <w:szCs w:val="28"/>
              </w:rPr>
            </w:pPr>
            <w:r w:rsidRPr="009F3092">
              <w:rPr>
                <w:rFonts w:ascii="宋体" w:eastAsia="宋体" w:hAnsi="宋体" w:cs="宋体" w:hint="eastAsia"/>
                <w:sz w:val="28"/>
                <w:szCs w:val="28"/>
              </w:rPr>
              <w:t>YW320A1-621</w:t>
            </w:r>
          </w:p>
        </w:tc>
        <w:tc>
          <w:tcPr>
            <w:tcW w:w="1344" w:type="dxa"/>
            <w:vAlign w:val="center"/>
          </w:tcPr>
          <w:p w14:paraId="7BF864E0" w14:textId="6BCCBCE2" w:rsidR="00465D1D" w:rsidRDefault="001A41CE">
            <w:pPr>
              <w:jc w:val="center"/>
              <w:rPr>
                <w:rFonts w:ascii="宋体" w:eastAsia="宋体" w:hAnsi="宋体" w:cs="宋体"/>
                <w:sz w:val="20"/>
                <w:szCs w:val="24"/>
              </w:rPr>
            </w:pPr>
            <w:r>
              <w:rPr>
                <w:rFonts w:ascii="宋体" w:eastAsia="宋体" w:hAnsi="宋体" w:cs="宋体" w:hint="eastAsia"/>
                <w:sz w:val="20"/>
                <w:szCs w:val="24"/>
              </w:rPr>
              <w:t>8500</w:t>
            </w:r>
          </w:p>
        </w:tc>
        <w:tc>
          <w:tcPr>
            <w:tcW w:w="831" w:type="dxa"/>
            <w:vAlign w:val="center"/>
          </w:tcPr>
          <w:p w14:paraId="0342D8C5" w14:textId="0AA92907" w:rsidR="00465D1D" w:rsidRDefault="001A41CE">
            <w:pPr>
              <w:jc w:val="center"/>
              <w:rPr>
                <w:rFonts w:ascii="宋体" w:eastAsia="宋体" w:hAnsi="宋体" w:cs="宋体"/>
                <w:sz w:val="20"/>
                <w:szCs w:val="24"/>
              </w:rPr>
            </w:pPr>
            <w:r>
              <w:rPr>
                <w:rFonts w:ascii="宋体" w:eastAsia="宋体" w:hAnsi="宋体" w:cs="宋体" w:hint="eastAsia"/>
                <w:sz w:val="20"/>
                <w:szCs w:val="24"/>
              </w:rPr>
              <w:t>1</w:t>
            </w:r>
          </w:p>
        </w:tc>
        <w:tc>
          <w:tcPr>
            <w:tcW w:w="1089" w:type="dxa"/>
            <w:vAlign w:val="center"/>
          </w:tcPr>
          <w:p w14:paraId="3682A68E" w14:textId="3006D7D5" w:rsidR="00465D1D" w:rsidRDefault="001A41CE">
            <w:pPr>
              <w:jc w:val="center"/>
              <w:rPr>
                <w:rFonts w:ascii="宋体" w:eastAsia="宋体" w:hAnsi="宋体" w:cs="宋体"/>
                <w:sz w:val="20"/>
                <w:szCs w:val="24"/>
              </w:rPr>
            </w:pPr>
            <w:r>
              <w:rPr>
                <w:rFonts w:ascii="宋体" w:eastAsia="宋体" w:hAnsi="宋体" w:cs="宋体" w:hint="eastAsia"/>
                <w:sz w:val="20"/>
                <w:szCs w:val="24"/>
              </w:rPr>
              <w:t>台</w:t>
            </w:r>
          </w:p>
        </w:tc>
        <w:tc>
          <w:tcPr>
            <w:tcW w:w="1027" w:type="dxa"/>
            <w:vAlign w:val="center"/>
          </w:tcPr>
          <w:p w14:paraId="4D3C56C7" w14:textId="2595A0A1" w:rsidR="00465D1D" w:rsidRDefault="001A41CE">
            <w:pPr>
              <w:jc w:val="center"/>
              <w:rPr>
                <w:rFonts w:ascii="宋体" w:eastAsia="宋体" w:hAnsi="宋体" w:cs="宋体"/>
                <w:sz w:val="20"/>
                <w:szCs w:val="24"/>
              </w:rPr>
            </w:pPr>
            <w:r>
              <w:rPr>
                <w:rFonts w:ascii="宋体" w:eastAsia="宋体" w:hAnsi="宋体" w:cs="宋体" w:hint="eastAsia"/>
                <w:sz w:val="20"/>
                <w:szCs w:val="24"/>
              </w:rPr>
              <w:t>8500</w:t>
            </w:r>
          </w:p>
        </w:tc>
      </w:tr>
    </w:tbl>
    <w:p w14:paraId="0E33ECFF" w14:textId="77777777" w:rsidR="00465D1D" w:rsidRDefault="00465D1D">
      <w:pPr>
        <w:rPr>
          <w:rFonts w:ascii="仿宋" w:eastAsia="仿宋" w:hAnsi="仿宋"/>
          <w:sz w:val="28"/>
          <w:szCs w:val="28"/>
        </w:rPr>
      </w:pPr>
      <w:bookmarkStart w:id="0" w:name="_GoBack"/>
      <w:bookmarkEnd w:id="0"/>
    </w:p>
    <w:p w14:paraId="071CBF6E" w14:textId="77777777" w:rsidR="00465D1D" w:rsidRDefault="00465D1D">
      <w:pPr>
        <w:widowControl/>
        <w:jc w:val="left"/>
      </w:pPr>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6"/>
        <w:gridCol w:w="1712"/>
        <w:gridCol w:w="28"/>
        <w:gridCol w:w="6202"/>
      </w:tblGrid>
      <w:tr w:rsidR="00465D1D" w14:paraId="0CCEEE80" w14:textId="77777777">
        <w:trPr>
          <w:trHeight w:val="454"/>
          <w:jc w:val="center"/>
        </w:trPr>
        <w:tc>
          <w:tcPr>
            <w:tcW w:w="1086" w:type="dxa"/>
            <w:vAlign w:val="center"/>
          </w:tcPr>
          <w:p w14:paraId="17183456" w14:textId="77777777" w:rsidR="00465D1D" w:rsidRDefault="00964977">
            <w:pPr>
              <w:widowControl/>
              <w:spacing w:line="360" w:lineRule="auto"/>
              <w:rPr>
                <w:rFonts w:ascii="宋体" w:eastAsia="宋体" w:hAnsi="宋体" w:cs="宋体"/>
                <w:b/>
                <w:szCs w:val="21"/>
              </w:rPr>
            </w:pPr>
            <w:r>
              <w:rPr>
                <w:rFonts w:ascii="宋体" w:eastAsia="宋体" w:hAnsi="宋体" w:cs="宋体" w:hint="eastAsia"/>
                <w:b/>
                <w:szCs w:val="21"/>
              </w:rPr>
              <w:t>序号</w:t>
            </w:r>
          </w:p>
        </w:tc>
        <w:tc>
          <w:tcPr>
            <w:tcW w:w="7942" w:type="dxa"/>
            <w:gridSpan w:val="3"/>
            <w:vAlign w:val="center"/>
          </w:tcPr>
          <w:p w14:paraId="169C7F5E" w14:textId="77777777" w:rsidR="00465D1D" w:rsidRDefault="00964977">
            <w:pPr>
              <w:widowControl/>
              <w:spacing w:line="360" w:lineRule="auto"/>
              <w:jc w:val="center"/>
              <w:rPr>
                <w:rFonts w:ascii="宋体" w:eastAsia="宋体" w:hAnsi="宋体" w:cs="宋体"/>
                <w:b/>
                <w:szCs w:val="21"/>
              </w:rPr>
            </w:pPr>
            <w:r>
              <w:rPr>
                <w:rFonts w:ascii="宋体" w:eastAsia="宋体" w:hAnsi="宋体" w:cs="宋体" w:hint="eastAsia"/>
                <w:bCs/>
                <w:szCs w:val="21"/>
              </w:rPr>
              <w:t>★</w:t>
            </w:r>
            <w:r>
              <w:rPr>
                <w:rFonts w:ascii="宋体" w:eastAsia="宋体" w:hAnsi="宋体" w:cs="宋体" w:hint="eastAsia"/>
                <w:b/>
                <w:szCs w:val="21"/>
              </w:rPr>
              <w:t>商务要求</w:t>
            </w:r>
          </w:p>
        </w:tc>
      </w:tr>
      <w:tr w:rsidR="00465D1D" w14:paraId="193ECDC5" w14:textId="77777777">
        <w:trPr>
          <w:trHeight w:val="454"/>
          <w:jc w:val="center"/>
        </w:trPr>
        <w:tc>
          <w:tcPr>
            <w:tcW w:w="9028" w:type="dxa"/>
            <w:gridSpan w:val="4"/>
            <w:vAlign w:val="center"/>
          </w:tcPr>
          <w:p w14:paraId="79A0648F" w14:textId="77777777" w:rsidR="00465D1D" w:rsidRDefault="00964977">
            <w:pPr>
              <w:widowControl/>
              <w:spacing w:line="360" w:lineRule="auto"/>
              <w:rPr>
                <w:rFonts w:ascii="宋体" w:eastAsia="宋体" w:hAnsi="宋体" w:cs="宋体"/>
                <w:b/>
                <w:szCs w:val="21"/>
              </w:rPr>
            </w:pPr>
            <w:r>
              <w:rPr>
                <w:rFonts w:ascii="宋体" w:eastAsia="宋体" w:hAnsi="宋体" w:cs="宋体" w:hint="eastAsia"/>
                <w:b/>
                <w:szCs w:val="21"/>
              </w:rPr>
              <w:t>（一）免费保修期内售后服务要求</w:t>
            </w:r>
          </w:p>
        </w:tc>
      </w:tr>
      <w:tr w:rsidR="00465D1D" w14:paraId="4FC5E301" w14:textId="77777777">
        <w:trPr>
          <w:trHeight w:val="454"/>
          <w:jc w:val="center"/>
        </w:trPr>
        <w:tc>
          <w:tcPr>
            <w:tcW w:w="1086" w:type="dxa"/>
            <w:vAlign w:val="center"/>
          </w:tcPr>
          <w:p w14:paraId="1968AFF2" w14:textId="77777777" w:rsidR="00465D1D" w:rsidRDefault="00964977">
            <w:pPr>
              <w:widowControl/>
              <w:spacing w:line="360" w:lineRule="auto"/>
              <w:rPr>
                <w:rFonts w:ascii="宋体" w:eastAsia="宋体" w:hAnsi="宋体" w:cs="宋体"/>
                <w:bCs/>
                <w:szCs w:val="21"/>
              </w:rPr>
            </w:pPr>
            <w:r>
              <w:rPr>
                <w:rFonts w:ascii="宋体" w:eastAsia="宋体" w:hAnsi="宋体" w:cs="宋体" w:hint="eastAsia"/>
                <w:bCs/>
                <w:szCs w:val="21"/>
              </w:rPr>
              <w:t>1</w:t>
            </w:r>
          </w:p>
        </w:tc>
        <w:tc>
          <w:tcPr>
            <w:tcW w:w="1712" w:type="dxa"/>
            <w:vAlign w:val="center"/>
          </w:tcPr>
          <w:p w14:paraId="29538BCF" w14:textId="77777777" w:rsidR="00465D1D" w:rsidRDefault="00964977">
            <w:pPr>
              <w:widowControl/>
              <w:spacing w:line="360" w:lineRule="auto"/>
              <w:jc w:val="center"/>
              <w:rPr>
                <w:rFonts w:ascii="宋体" w:eastAsia="宋体" w:hAnsi="宋体" w:cs="宋体"/>
                <w:szCs w:val="21"/>
              </w:rPr>
            </w:pPr>
            <w:r>
              <w:rPr>
                <w:rFonts w:ascii="宋体" w:eastAsia="宋体" w:hAnsi="宋体" w:cs="宋体" w:hint="eastAsia"/>
                <w:szCs w:val="21"/>
              </w:rPr>
              <w:t>货物要求</w:t>
            </w:r>
          </w:p>
        </w:tc>
        <w:tc>
          <w:tcPr>
            <w:tcW w:w="6230" w:type="dxa"/>
            <w:gridSpan w:val="2"/>
          </w:tcPr>
          <w:p w14:paraId="05275700" w14:textId="77777777" w:rsidR="00465D1D" w:rsidRDefault="00964977">
            <w:pPr>
              <w:widowControl/>
              <w:spacing w:line="360" w:lineRule="auto"/>
              <w:rPr>
                <w:rFonts w:ascii="宋体" w:eastAsia="宋体" w:hAnsi="宋体" w:cs="宋体"/>
                <w:szCs w:val="21"/>
              </w:rPr>
            </w:pPr>
            <w:r>
              <w:rPr>
                <w:rFonts w:ascii="宋体" w:eastAsia="宋体" w:hAnsi="宋体" w:cs="宋体" w:hint="eastAsia"/>
                <w:szCs w:val="21"/>
              </w:rPr>
              <w:t>1.1中标供应商所提供的货物的技术规格符合采购文件规定的技术规格，货物符合中华人民共和国的设计和制造国家标准、生产标准或行业标准。</w:t>
            </w:r>
          </w:p>
          <w:p w14:paraId="1DEAA421" w14:textId="77777777" w:rsidR="00465D1D" w:rsidRDefault="00964977">
            <w:pPr>
              <w:widowControl/>
              <w:spacing w:line="360" w:lineRule="auto"/>
              <w:rPr>
                <w:rFonts w:ascii="宋体" w:eastAsia="宋体" w:hAnsi="宋体" w:cs="宋体"/>
                <w:szCs w:val="21"/>
              </w:rPr>
            </w:pPr>
            <w:r>
              <w:rPr>
                <w:rFonts w:ascii="宋体" w:eastAsia="宋体" w:hAnsi="宋体" w:cs="宋体" w:hint="eastAsia"/>
                <w:szCs w:val="21"/>
              </w:rPr>
              <w:t>1.2中标供应商应保证货物是全新、未使用过的原装合格正品（包括零部件），并完全符合采购方要求的质量、规格和性能的要求。</w:t>
            </w:r>
          </w:p>
          <w:p w14:paraId="6E1C2357" w14:textId="77777777" w:rsidR="00465D1D" w:rsidRDefault="00964977">
            <w:pPr>
              <w:widowControl/>
              <w:spacing w:line="360" w:lineRule="auto"/>
              <w:rPr>
                <w:rFonts w:ascii="宋体" w:eastAsia="宋体" w:hAnsi="宋体" w:cs="宋体"/>
                <w:szCs w:val="21"/>
              </w:rPr>
            </w:pPr>
            <w:r>
              <w:rPr>
                <w:rFonts w:ascii="宋体" w:eastAsia="宋体" w:hAnsi="宋体" w:cs="宋体" w:hint="eastAsia"/>
                <w:szCs w:val="21"/>
              </w:rPr>
              <w:t>1.3如货物安装或配置了软件的，中标供应商保证相关软件均为正版软件。</w:t>
            </w:r>
          </w:p>
          <w:p w14:paraId="3121272A" w14:textId="77777777" w:rsidR="00465D1D" w:rsidRDefault="00964977">
            <w:pPr>
              <w:widowControl/>
              <w:spacing w:line="360" w:lineRule="auto"/>
              <w:rPr>
                <w:rFonts w:ascii="宋体" w:eastAsia="宋体" w:hAnsi="宋体" w:cs="宋体"/>
                <w:szCs w:val="21"/>
              </w:rPr>
            </w:pPr>
            <w:r>
              <w:rPr>
                <w:rFonts w:ascii="宋体" w:eastAsia="宋体" w:hAnsi="宋体" w:cs="宋体" w:hint="eastAsia"/>
                <w:szCs w:val="21"/>
              </w:rPr>
              <w:t>1.4中标供应商应将所提供货物的使用说明书、原厂保修卡等附随资料和附随配件、工具等交付给采购方；</w:t>
            </w:r>
          </w:p>
          <w:p w14:paraId="51414376" w14:textId="77777777" w:rsidR="00465D1D" w:rsidRDefault="00964977">
            <w:pPr>
              <w:widowControl/>
              <w:spacing w:line="360" w:lineRule="auto"/>
              <w:rPr>
                <w:rFonts w:ascii="宋体" w:eastAsia="宋体" w:hAnsi="宋体" w:cs="宋体"/>
                <w:szCs w:val="21"/>
              </w:rPr>
            </w:pPr>
            <w:r>
              <w:rPr>
                <w:rFonts w:ascii="宋体" w:eastAsia="宋体" w:hAnsi="宋体" w:cs="宋体" w:hint="eastAsia"/>
                <w:szCs w:val="21"/>
              </w:rPr>
              <w:t>1.5中标供应商不能完整交付货物及本款规定的单证和工具的，或提供产品或者是附件为不合格产品将进行退货处理。</w:t>
            </w:r>
          </w:p>
        </w:tc>
      </w:tr>
      <w:tr w:rsidR="00465D1D" w14:paraId="4AA9A8A6" w14:textId="77777777">
        <w:trPr>
          <w:trHeight w:val="454"/>
          <w:jc w:val="center"/>
        </w:trPr>
        <w:tc>
          <w:tcPr>
            <w:tcW w:w="1086" w:type="dxa"/>
            <w:vAlign w:val="center"/>
          </w:tcPr>
          <w:p w14:paraId="75A26EBC" w14:textId="77777777" w:rsidR="00465D1D" w:rsidRDefault="00964977">
            <w:pPr>
              <w:widowControl/>
              <w:spacing w:line="360" w:lineRule="auto"/>
              <w:rPr>
                <w:rFonts w:ascii="宋体" w:eastAsia="宋体" w:hAnsi="宋体" w:cs="宋体"/>
                <w:b/>
                <w:szCs w:val="21"/>
              </w:rPr>
            </w:pPr>
            <w:r>
              <w:rPr>
                <w:rFonts w:ascii="宋体" w:eastAsia="宋体" w:hAnsi="宋体" w:cs="宋体"/>
                <w:bCs/>
                <w:szCs w:val="21"/>
              </w:rPr>
              <w:t>2</w:t>
            </w:r>
          </w:p>
        </w:tc>
        <w:tc>
          <w:tcPr>
            <w:tcW w:w="1712" w:type="dxa"/>
            <w:vAlign w:val="center"/>
          </w:tcPr>
          <w:p w14:paraId="737F062C" w14:textId="77777777" w:rsidR="00465D1D" w:rsidRDefault="00964977">
            <w:pPr>
              <w:widowControl/>
              <w:spacing w:line="360" w:lineRule="auto"/>
              <w:rPr>
                <w:rFonts w:ascii="宋体" w:eastAsia="宋体" w:hAnsi="宋体" w:cs="宋体"/>
                <w:b/>
                <w:szCs w:val="21"/>
              </w:rPr>
            </w:pPr>
            <w:r>
              <w:rPr>
                <w:rFonts w:ascii="宋体" w:eastAsia="宋体" w:hAnsi="宋体" w:cs="宋体" w:hint="eastAsia"/>
                <w:szCs w:val="21"/>
              </w:rPr>
              <w:t>维修响应及故障解决时间</w:t>
            </w:r>
          </w:p>
        </w:tc>
        <w:tc>
          <w:tcPr>
            <w:tcW w:w="6230" w:type="dxa"/>
            <w:gridSpan w:val="2"/>
          </w:tcPr>
          <w:p w14:paraId="6B1CCB21" w14:textId="77777777" w:rsidR="00465D1D" w:rsidRDefault="00964977">
            <w:pPr>
              <w:widowControl/>
              <w:spacing w:line="360" w:lineRule="auto"/>
              <w:rPr>
                <w:rFonts w:ascii="宋体" w:eastAsia="宋体" w:hAnsi="宋体" w:cs="宋体"/>
                <w:b/>
                <w:szCs w:val="21"/>
              </w:rPr>
            </w:pPr>
            <w:r>
              <w:rPr>
                <w:rFonts w:ascii="宋体" w:eastAsia="宋体" w:hAnsi="宋体" w:cs="宋体" w:hint="eastAsia"/>
                <w:bCs/>
                <w:szCs w:val="21"/>
              </w:rPr>
              <w:t>2.1保修期内</w:t>
            </w:r>
            <w:r>
              <w:rPr>
                <w:rFonts w:ascii="宋体" w:eastAsia="宋体" w:hAnsi="宋体" w:cs="宋体" w:hint="eastAsia"/>
                <w:szCs w:val="21"/>
              </w:rPr>
              <w:t>中标</w:t>
            </w:r>
            <w:r>
              <w:rPr>
                <w:rFonts w:ascii="宋体" w:eastAsia="宋体" w:hAnsi="宋体" w:cs="宋体" w:hint="eastAsia"/>
                <w:bCs/>
                <w:szCs w:val="21"/>
              </w:rPr>
              <w:t>供应商应提供</w:t>
            </w:r>
            <w:r>
              <w:rPr>
                <w:rFonts w:ascii="宋体" w:eastAsia="宋体" w:hAnsi="宋体" w:cs="宋体"/>
                <w:bCs/>
                <w:szCs w:val="21"/>
              </w:rPr>
              <w:t>12小时响应，</w:t>
            </w:r>
            <w:r>
              <w:rPr>
                <w:rFonts w:ascii="宋体" w:eastAsia="宋体" w:hAnsi="宋体" w:cs="宋体" w:hint="eastAsia"/>
                <w:bCs/>
                <w:szCs w:val="21"/>
              </w:rPr>
              <w:t>2</w:t>
            </w:r>
            <w:r>
              <w:rPr>
                <w:rFonts w:ascii="宋体" w:eastAsia="宋体" w:hAnsi="宋体" w:cs="宋体"/>
                <w:bCs/>
                <w:szCs w:val="21"/>
              </w:rPr>
              <w:t>4小时内上门服务，对设备予以检修或更换，全部服务费和更换产品或配件的费用由</w:t>
            </w:r>
            <w:r>
              <w:rPr>
                <w:rFonts w:ascii="宋体" w:eastAsia="宋体" w:hAnsi="宋体" w:cs="宋体" w:hint="eastAsia"/>
                <w:bCs/>
                <w:szCs w:val="21"/>
              </w:rPr>
              <w:t>供应商</w:t>
            </w:r>
            <w:r>
              <w:rPr>
                <w:rFonts w:ascii="宋体" w:eastAsia="宋体" w:hAnsi="宋体" w:cs="宋体"/>
                <w:bCs/>
                <w:szCs w:val="21"/>
              </w:rPr>
              <w:t>承担。</w:t>
            </w:r>
          </w:p>
        </w:tc>
      </w:tr>
      <w:tr w:rsidR="00465D1D" w14:paraId="417516D7" w14:textId="77777777">
        <w:trPr>
          <w:trHeight w:val="2818"/>
          <w:jc w:val="center"/>
        </w:trPr>
        <w:tc>
          <w:tcPr>
            <w:tcW w:w="1086" w:type="dxa"/>
            <w:vAlign w:val="center"/>
          </w:tcPr>
          <w:p w14:paraId="69B7C54A" w14:textId="77777777" w:rsidR="00465D1D" w:rsidRDefault="00964977">
            <w:pPr>
              <w:widowControl/>
              <w:spacing w:line="360" w:lineRule="auto"/>
              <w:rPr>
                <w:rFonts w:ascii="宋体" w:eastAsia="宋体" w:hAnsi="宋体" w:cs="宋体"/>
                <w:b/>
                <w:szCs w:val="21"/>
              </w:rPr>
            </w:pPr>
            <w:r>
              <w:rPr>
                <w:rFonts w:ascii="宋体" w:eastAsia="宋体" w:hAnsi="宋体" w:cs="宋体"/>
                <w:bCs/>
                <w:szCs w:val="21"/>
              </w:rPr>
              <w:lastRenderedPageBreak/>
              <w:t>3</w:t>
            </w:r>
          </w:p>
        </w:tc>
        <w:tc>
          <w:tcPr>
            <w:tcW w:w="1712" w:type="dxa"/>
            <w:vAlign w:val="center"/>
          </w:tcPr>
          <w:p w14:paraId="4A1891AE" w14:textId="77777777" w:rsidR="00465D1D" w:rsidRDefault="00964977">
            <w:pPr>
              <w:widowControl/>
              <w:spacing w:line="360" w:lineRule="auto"/>
              <w:jc w:val="center"/>
              <w:rPr>
                <w:rFonts w:ascii="宋体" w:eastAsia="宋体" w:hAnsi="宋体" w:cs="宋体"/>
                <w:b/>
                <w:szCs w:val="21"/>
              </w:rPr>
            </w:pPr>
            <w:r>
              <w:rPr>
                <w:rFonts w:ascii="宋体" w:eastAsia="宋体" w:hAnsi="宋体" w:cs="宋体" w:hint="eastAsia"/>
                <w:szCs w:val="21"/>
              </w:rPr>
              <w:t>免费保修期</w:t>
            </w:r>
          </w:p>
        </w:tc>
        <w:tc>
          <w:tcPr>
            <w:tcW w:w="6230" w:type="dxa"/>
            <w:gridSpan w:val="2"/>
          </w:tcPr>
          <w:p w14:paraId="4DDCFCB4" w14:textId="059E4B99" w:rsidR="00465D1D" w:rsidRDefault="00964977">
            <w:pPr>
              <w:widowControl/>
              <w:spacing w:line="360" w:lineRule="auto"/>
              <w:rPr>
                <w:rFonts w:ascii="宋体" w:eastAsia="宋体" w:hAnsi="宋体" w:cs="宋体"/>
                <w:bCs/>
                <w:szCs w:val="21"/>
              </w:rPr>
            </w:pPr>
            <w:r>
              <w:rPr>
                <w:rFonts w:ascii="宋体" w:eastAsia="宋体" w:hAnsi="宋体" w:cs="宋体"/>
                <w:bCs/>
                <w:szCs w:val="21"/>
              </w:rPr>
              <w:t>3</w:t>
            </w:r>
            <w:r>
              <w:rPr>
                <w:rFonts w:ascii="宋体" w:eastAsia="宋体" w:hAnsi="宋体" w:cs="宋体" w:hint="eastAsia"/>
                <w:bCs/>
                <w:szCs w:val="21"/>
              </w:rPr>
              <w:t>.1货物免费保修期1年</w:t>
            </w:r>
            <w:r>
              <w:rPr>
                <w:rFonts w:ascii="Helvetica" w:eastAsia="宋体" w:hAnsi="Helvetica" w:cs="Helvetica" w:hint="eastAsia"/>
                <w:szCs w:val="21"/>
                <w:shd w:val="clear" w:color="auto" w:fill="FFFFFF"/>
              </w:rPr>
              <w:t>。</w:t>
            </w:r>
            <w:r>
              <w:rPr>
                <w:rFonts w:ascii="宋体" w:eastAsia="宋体" w:hAnsi="宋体" w:cs="宋体" w:hint="eastAsia"/>
                <w:bCs/>
                <w:szCs w:val="21"/>
              </w:rPr>
              <w:t>从所有的货物最终验收合格起计算。</w:t>
            </w:r>
          </w:p>
          <w:p w14:paraId="2B99AC56" w14:textId="51D53C9B" w:rsidR="00465D1D" w:rsidRDefault="00964977">
            <w:pPr>
              <w:widowControl/>
              <w:spacing w:line="360" w:lineRule="auto"/>
              <w:rPr>
                <w:rFonts w:ascii="宋体" w:eastAsia="宋体" w:hAnsi="宋体" w:cs="宋体"/>
                <w:b/>
                <w:szCs w:val="21"/>
              </w:rPr>
            </w:pPr>
            <w:r>
              <w:rPr>
                <w:rFonts w:ascii="宋体" w:eastAsia="宋体" w:hAnsi="宋体" w:cs="宋体"/>
                <w:bCs/>
                <w:szCs w:val="21"/>
              </w:rPr>
              <w:t>3</w:t>
            </w:r>
            <w:r>
              <w:rPr>
                <w:rFonts w:ascii="宋体" w:eastAsia="宋体" w:hAnsi="宋体" w:cs="宋体" w:hint="eastAsia"/>
                <w:bCs/>
                <w:szCs w:val="21"/>
              </w:rPr>
              <w:t>.2免费保修期内，非因采购方人为原因而出现质量问题，由中标供应商负责包修、包换或者包退并承担修理、调换或者退货的实际费用，所有服务及配件全部免费。</w:t>
            </w:r>
            <w:r>
              <w:rPr>
                <w:rFonts w:ascii="宋体" w:eastAsia="宋体" w:hAnsi="宋体" w:cs="宋体" w:hint="eastAsia"/>
                <w:szCs w:val="21"/>
              </w:rPr>
              <w:t>中标</w:t>
            </w:r>
            <w:r>
              <w:rPr>
                <w:rFonts w:ascii="宋体" w:eastAsia="宋体" w:hAnsi="宋体" w:cs="宋体" w:hint="eastAsia"/>
                <w:bCs/>
                <w:szCs w:val="21"/>
              </w:rPr>
              <w:t>供应商</w:t>
            </w:r>
            <w:r>
              <w:rPr>
                <w:rFonts w:ascii="宋体" w:eastAsia="宋体" w:hAnsi="宋体" w:cs="宋体"/>
                <w:bCs/>
                <w:szCs w:val="21"/>
              </w:rPr>
              <w:t>负责对其提供的货物进行维修和系统维护，不再收取任何费用。</w:t>
            </w:r>
            <w:r>
              <w:rPr>
                <w:rFonts w:ascii="宋体" w:eastAsia="宋体" w:hAnsi="宋体" w:cs="宋体" w:hint="eastAsia"/>
                <w:bCs/>
                <w:szCs w:val="21"/>
              </w:rPr>
              <w:t>所有货物保修服务方式均为供应商上门保修，即由</w:t>
            </w:r>
            <w:r>
              <w:rPr>
                <w:rFonts w:ascii="宋体" w:eastAsia="宋体" w:hAnsi="宋体" w:cs="宋体" w:hint="eastAsia"/>
                <w:szCs w:val="21"/>
              </w:rPr>
              <w:t>中标</w:t>
            </w:r>
            <w:r>
              <w:rPr>
                <w:rFonts w:ascii="宋体" w:eastAsia="宋体" w:hAnsi="宋体" w:cs="宋体" w:hint="eastAsia"/>
                <w:bCs/>
                <w:szCs w:val="21"/>
              </w:rPr>
              <w:t>供应商派</w:t>
            </w:r>
            <w:r w:rsidR="009F3092">
              <w:rPr>
                <w:rFonts w:ascii="宋体" w:eastAsia="宋体" w:hAnsi="宋体" w:cs="宋体" w:hint="eastAsia"/>
                <w:bCs/>
                <w:szCs w:val="21"/>
              </w:rPr>
              <w:t>人</w:t>
            </w:r>
            <w:r>
              <w:rPr>
                <w:rFonts w:ascii="宋体" w:eastAsia="宋体" w:hAnsi="宋体" w:cs="宋体" w:hint="eastAsia"/>
                <w:bCs/>
                <w:szCs w:val="21"/>
              </w:rPr>
              <w:t>员到货物使用现场维修，由此产生的一切费用（包括但不限于人工费、配件费、交通费）均由供应商承担。</w:t>
            </w:r>
          </w:p>
        </w:tc>
      </w:tr>
      <w:tr w:rsidR="00465D1D" w14:paraId="66642919" w14:textId="77777777">
        <w:trPr>
          <w:trHeight w:val="454"/>
          <w:jc w:val="center"/>
        </w:trPr>
        <w:tc>
          <w:tcPr>
            <w:tcW w:w="1086" w:type="dxa"/>
            <w:vAlign w:val="center"/>
          </w:tcPr>
          <w:p w14:paraId="6F85C933" w14:textId="77777777" w:rsidR="00465D1D" w:rsidRDefault="00964977">
            <w:pPr>
              <w:widowControl/>
              <w:spacing w:line="360" w:lineRule="auto"/>
              <w:rPr>
                <w:rFonts w:ascii="宋体" w:eastAsia="宋体" w:hAnsi="宋体" w:cs="宋体"/>
                <w:b/>
                <w:szCs w:val="21"/>
              </w:rPr>
            </w:pPr>
            <w:r>
              <w:rPr>
                <w:rFonts w:ascii="宋体" w:eastAsia="宋体" w:hAnsi="宋体" w:cs="宋体"/>
                <w:bCs/>
                <w:szCs w:val="21"/>
              </w:rPr>
              <w:t>4</w:t>
            </w:r>
          </w:p>
        </w:tc>
        <w:tc>
          <w:tcPr>
            <w:tcW w:w="1712" w:type="dxa"/>
            <w:vAlign w:val="center"/>
          </w:tcPr>
          <w:p w14:paraId="7A84A4B5" w14:textId="77777777" w:rsidR="00465D1D" w:rsidRDefault="00964977">
            <w:pPr>
              <w:widowControl/>
              <w:spacing w:line="360" w:lineRule="auto"/>
              <w:jc w:val="center"/>
              <w:rPr>
                <w:rFonts w:ascii="宋体" w:eastAsia="宋体" w:hAnsi="宋体" w:cs="宋体"/>
                <w:b/>
                <w:szCs w:val="21"/>
              </w:rPr>
            </w:pPr>
            <w:r>
              <w:rPr>
                <w:rFonts w:ascii="宋体" w:eastAsia="宋体" w:hAnsi="宋体" w:cs="宋体" w:hint="eastAsia"/>
                <w:szCs w:val="21"/>
              </w:rPr>
              <w:t>技术文件</w:t>
            </w:r>
          </w:p>
        </w:tc>
        <w:tc>
          <w:tcPr>
            <w:tcW w:w="6230" w:type="dxa"/>
            <w:gridSpan w:val="2"/>
            <w:vAlign w:val="center"/>
          </w:tcPr>
          <w:p w14:paraId="4DAFA545" w14:textId="77777777" w:rsidR="00465D1D" w:rsidRDefault="00964977">
            <w:pPr>
              <w:widowControl/>
              <w:spacing w:line="360" w:lineRule="auto"/>
              <w:rPr>
                <w:rFonts w:ascii="宋体" w:eastAsia="宋体" w:hAnsi="宋体" w:cs="宋体"/>
                <w:b/>
                <w:szCs w:val="21"/>
              </w:rPr>
            </w:pPr>
            <w:r>
              <w:rPr>
                <w:rFonts w:ascii="宋体" w:eastAsia="宋体" w:hAnsi="宋体" w:cs="宋体" w:hint="eastAsia"/>
                <w:bCs/>
                <w:szCs w:val="21"/>
              </w:rPr>
              <w:t>4.1</w:t>
            </w:r>
            <w:r>
              <w:rPr>
                <w:rFonts w:ascii="宋体" w:eastAsia="宋体" w:hAnsi="宋体" w:cs="宋体" w:hint="eastAsia"/>
                <w:szCs w:val="21"/>
              </w:rPr>
              <w:t>中标</w:t>
            </w:r>
            <w:r>
              <w:rPr>
                <w:rFonts w:ascii="宋体" w:eastAsia="宋体" w:hAnsi="宋体" w:cs="宋体" w:hint="eastAsia"/>
                <w:bCs/>
                <w:szCs w:val="21"/>
              </w:rPr>
              <w:t>供应商应提供全套、完整的货物附带资料，包括但不限于说明书、操作手册、简单维修说明等。</w:t>
            </w:r>
          </w:p>
        </w:tc>
      </w:tr>
      <w:tr w:rsidR="00465D1D" w14:paraId="55FB2988" w14:textId="77777777">
        <w:trPr>
          <w:trHeight w:val="454"/>
          <w:jc w:val="center"/>
        </w:trPr>
        <w:tc>
          <w:tcPr>
            <w:tcW w:w="9028" w:type="dxa"/>
            <w:gridSpan w:val="4"/>
            <w:vAlign w:val="center"/>
          </w:tcPr>
          <w:p w14:paraId="2B89868A" w14:textId="77777777" w:rsidR="00465D1D" w:rsidRDefault="00964977">
            <w:pPr>
              <w:widowControl/>
              <w:spacing w:line="360" w:lineRule="auto"/>
              <w:rPr>
                <w:rFonts w:ascii="宋体" w:eastAsia="宋体" w:hAnsi="宋体" w:cs="宋体"/>
                <w:b/>
                <w:szCs w:val="21"/>
              </w:rPr>
            </w:pPr>
            <w:r>
              <w:rPr>
                <w:rFonts w:ascii="宋体" w:eastAsia="宋体" w:hAnsi="宋体" w:cs="宋体" w:hint="eastAsia"/>
                <w:b/>
                <w:szCs w:val="21"/>
              </w:rPr>
              <w:t>（二）免费保修期外售后服务要求</w:t>
            </w:r>
          </w:p>
        </w:tc>
      </w:tr>
      <w:tr w:rsidR="00465D1D" w14:paraId="2C76E6E2" w14:textId="77777777">
        <w:trPr>
          <w:trHeight w:val="711"/>
          <w:jc w:val="center"/>
        </w:trPr>
        <w:tc>
          <w:tcPr>
            <w:tcW w:w="1086" w:type="dxa"/>
            <w:vAlign w:val="center"/>
          </w:tcPr>
          <w:p w14:paraId="1F753899" w14:textId="77777777" w:rsidR="00465D1D" w:rsidRDefault="00964977">
            <w:pPr>
              <w:widowControl/>
              <w:spacing w:line="360" w:lineRule="auto"/>
              <w:jc w:val="center"/>
              <w:rPr>
                <w:rFonts w:ascii="宋体" w:eastAsia="宋体" w:hAnsi="宋体" w:cs="宋体"/>
                <w:bCs/>
                <w:szCs w:val="21"/>
              </w:rPr>
            </w:pPr>
            <w:r>
              <w:rPr>
                <w:rFonts w:ascii="宋体" w:eastAsia="宋体" w:hAnsi="宋体" w:cs="宋体" w:hint="eastAsia"/>
                <w:bCs/>
                <w:szCs w:val="21"/>
              </w:rPr>
              <w:t>5</w:t>
            </w:r>
          </w:p>
        </w:tc>
        <w:tc>
          <w:tcPr>
            <w:tcW w:w="1740" w:type="dxa"/>
            <w:gridSpan w:val="2"/>
            <w:vAlign w:val="center"/>
          </w:tcPr>
          <w:p w14:paraId="6F091886" w14:textId="77777777" w:rsidR="00465D1D" w:rsidRDefault="00964977">
            <w:pPr>
              <w:widowControl/>
              <w:spacing w:line="360" w:lineRule="auto"/>
              <w:jc w:val="center"/>
              <w:rPr>
                <w:rFonts w:ascii="宋体" w:eastAsia="宋体" w:hAnsi="宋体" w:cs="宋体"/>
                <w:bCs/>
                <w:szCs w:val="21"/>
              </w:rPr>
            </w:pPr>
            <w:r>
              <w:rPr>
                <w:rFonts w:ascii="宋体" w:eastAsia="宋体" w:hAnsi="宋体" w:cs="宋体" w:hint="eastAsia"/>
                <w:szCs w:val="21"/>
              </w:rPr>
              <w:t>维保期外的维修</w:t>
            </w:r>
            <w:r>
              <w:rPr>
                <w:rFonts w:ascii="宋体" w:eastAsia="宋体" w:hAnsi="宋体" w:cs="宋体" w:hint="eastAsia"/>
                <w:bCs/>
                <w:szCs w:val="21"/>
              </w:rPr>
              <w:t>合同的报价</w:t>
            </w:r>
          </w:p>
        </w:tc>
        <w:tc>
          <w:tcPr>
            <w:tcW w:w="6202" w:type="dxa"/>
            <w:vAlign w:val="center"/>
          </w:tcPr>
          <w:p w14:paraId="4AFECFCE" w14:textId="77777777" w:rsidR="00465D1D" w:rsidRDefault="00964977">
            <w:pPr>
              <w:widowControl/>
              <w:spacing w:line="360" w:lineRule="auto"/>
              <w:rPr>
                <w:rFonts w:ascii="宋体" w:eastAsia="宋体" w:hAnsi="宋体" w:cs="宋体"/>
                <w:b/>
                <w:szCs w:val="21"/>
              </w:rPr>
            </w:pPr>
            <w:r>
              <w:rPr>
                <w:rFonts w:ascii="宋体" w:eastAsia="宋体" w:hAnsi="宋体" w:cs="宋体" w:hint="eastAsia"/>
                <w:szCs w:val="21"/>
              </w:rPr>
              <w:t>5.1保修期满后，由合同约定的中标</w:t>
            </w:r>
            <w:r>
              <w:rPr>
                <w:rFonts w:ascii="宋体" w:eastAsia="宋体" w:hAnsi="宋体" w:cs="宋体" w:hint="eastAsia"/>
                <w:bCs/>
                <w:szCs w:val="21"/>
              </w:rPr>
              <w:t>供应商或</w:t>
            </w:r>
            <w:r>
              <w:rPr>
                <w:rFonts w:ascii="宋体" w:eastAsia="宋体" w:hAnsi="宋体" w:cs="宋体" w:hint="eastAsia"/>
                <w:szCs w:val="21"/>
              </w:rPr>
              <w:t>货物制造商提供售后服务，</w:t>
            </w:r>
            <w:r>
              <w:rPr>
                <w:rFonts w:ascii="宋体" w:eastAsia="宋体" w:hAnsi="宋体" w:cs="宋体" w:hint="eastAsia"/>
                <w:bCs/>
                <w:szCs w:val="21"/>
              </w:rPr>
              <w:t>维修零配件、人工费等费用根据货物制造商市场公示费用标准执行</w:t>
            </w:r>
            <w:r>
              <w:rPr>
                <w:rFonts w:ascii="宋体" w:eastAsia="宋体" w:hAnsi="宋体" w:cs="宋体" w:hint="eastAsia"/>
                <w:szCs w:val="21"/>
              </w:rPr>
              <w:t>。</w:t>
            </w:r>
          </w:p>
        </w:tc>
      </w:tr>
      <w:tr w:rsidR="00465D1D" w14:paraId="2A9D9242" w14:textId="77777777">
        <w:trPr>
          <w:trHeight w:val="454"/>
          <w:jc w:val="center"/>
        </w:trPr>
        <w:tc>
          <w:tcPr>
            <w:tcW w:w="9028" w:type="dxa"/>
            <w:gridSpan w:val="4"/>
            <w:vAlign w:val="center"/>
          </w:tcPr>
          <w:p w14:paraId="5F8C7627" w14:textId="77777777" w:rsidR="00465D1D" w:rsidRDefault="00964977">
            <w:pPr>
              <w:widowControl/>
              <w:spacing w:line="360" w:lineRule="auto"/>
              <w:rPr>
                <w:rFonts w:ascii="宋体" w:eastAsia="宋体" w:hAnsi="宋体" w:cs="宋体"/>
                <w:b/>
                <w:szCs w:val="21"/>
              </w:rPr>
            </w:pPr>
            <w:r>
              <w:rPr>
                <w:rFonts w:ascii="宋体" w:eastAsia="宋体" w:hAnsi="宋体" w:cs="宋体" w:hint="eastAsia"/>
                <w:b/>
                <w:szCs w:val="21"/>
              </w:rPr>
              <w:t>（三）其他商务要求</w:t>
            </w:r>
          </w:p>
        </w:tc>
      </w:tr>
      <w:tr w:rsidR="00465D1D" w14:paraId="4803CB45" w14:textId="77777777">
        <w:trPr>
          <w:trHeight w:val="454"/>
          <w:jc w:val="center"/>
        </w:trPr>
        <w:tc>
          <w:tcPr>
            <w:tcW w:w="1086" w:type="dxa"/>
            <w:vMerge w:val="restart"/>
            <w:vAlign w:val="center"/>
          </w:tcPr>
          <w:p w14:paraId="7A00AA84" w14:textId="77777777" w:rsidR="00465D1D" w:rsidRDefault="00964977">
            <w:pPr>
              <w:widowControl/>
              <w:spacing w:line="360" w:lineRule="auto"/>
              <w:jc w:val="center"/>
              <w:rPr>
                <w:rFonts w:ascii="宋体" w:eastAsia="宋体" w:hAnsi="宋体" w:cs="宋体"/>
                <w:bCs/>
                <w:szCs w:val="21"/>
              </w:rPr>
            </w:pPr>
            <w:r>
              <w:rPr>
                <w:rFonts w:ascii="宋体" w:eastAsia="宋体" w:hAnsi="宋体" w:cs="宋体" w:hint="eastAsia"/>
                <w:bCs/>
                <w:szCs w:val="21"/>
              </w:rPr>
              <w:t>6</w:t>
            </w:r>
          </w:p>
        </w:tc>
        <w:tc>
          <w:tcPr>
            <w:tcW w:w="1740" w:type="dxa"/>
            <w:gridSpan w:val="2"/>
            <w:vMerge w:val="restart"/>
            <w:vAlign w:val="center"/>
          </w:tcPr>
          <w:p w14:paraId="069A812B" w14:textId="77777777" w:rsidR="00465D1D" w:rsidRDefault="00964977">
            <w:pPr>
              <w:widowControl/>
              <w:spacing w:line="360" w:lineRule="auto"/>
              <w:jc w:val="center"/>
              <w:rPr>
                <w:rFonts w:ascii="宋体" w:eastAsia="宋体" w:hAnsi="宋体" w:cs="宋体"/>
                <w:bCs/>
                <w:szCs w:val="21"/>
              </w:rPr>
            </w:pPr>
            <w:r>
              <w:rPr>
                <w:rFonts w:ascii="宋体" w:eastAsia="宋体" w:hAnsi="宋体" w:cs="宋体" w:hint="eastAsia"/>
                <w:bCs/>
                <w:szCs w:val="21"/>
              </w:rPr>
              <w:t>必备条款</w:t>
            </w:r>
          </w:p>
        </w:tc>
        <w:tc>
          <w:tcPr>
            <w:tcW w:w="6202" w:type="dxa"/>
            <w:vAlign w:val="center"/>
          </w:tcPr>
          <w:p w14:paraId="705A01CB" w14:textId="7DAB0450" w:rsidR="00465D1D" w:rsidRDefault="00964977">
            <w:pPr>
              <w:widowControl/>
              <w:spacing w:line="360" w:lineRule="auto"/>
              <w:rPr>
                <w:rFonts w:ascii="宋体" w:eastAsia="宋体" w:hAnsi="宋体" w:cs="宋体"/>
                <w:szCs w:val="21"/>
              </w:rPr>
            </w:pPr>
            <w:r>
              <w:rPr>
                <w:rFonts w:ascii="宋体" w:eastAsia="宋体" w:hAnsi="宋体" w:cs="宋体" w:hint="eastAsia"/>
                <w:szCs w:val="21"/>
              </w:rPr>
              <w:t>6.1合同生效后，中标</w:t>
            </w:r>
            <w:r>
              <w:rPr>
                <w:rFonts w:ascii="宋体" w:eastAsia="宋体" w:hAnsi="宋体" w:cs="宋体" w:hint="eastAsia"/>
                <w:bCs/>
                <w:szCs w:val="21"/>
              </w:rPr>
              <w:t>供应商应根据合同约定的时间和方式向采购人交付货物。</w:t>
            </w:r>
            <w:r>
              <w:rPr>
                <w:rFonts w:ascii="宋体" w:eastAsia="宋体" w:hAnsi="宋体" w:cs="宋体" w:hint="eastAsia"/>
                <w:szCs w:val="21"/>
              </w:rPr>
              <w:t>采购人在收到中标供应商货物并验收合格后、收到中标供应商提供的与货物制造商签订的与原合同条款一致的维保合同或原厂维保承诺函，以及中标供应商提供的合规性发票后，在10个工作日内</w:t>
            </w:r>
            <w:r w:rsidR="00A60A34">
              <w:rPr>
                <w:rFonts w:ascii="宋体" w:eastAsia="宋体" w:hAnsi="宋体" w:cs="宋体" w:hint="eastAsia"/>
                <w:szCs w:val="21"/>
              </w:rPr>
              <w:t>开始</w:t>
            </w:r>
            <w:r>
              <w:rPr>
                <w:rFonts w:ascii="宋体" w:eastAsia="宋体" w:hAnsi="宋体" w:cs="宋体" w:hint="eastAsia"/>
                <w:szCs w:val="21"/>
              </w:rPr>
              <w:t>按支付流程向供应商指定的银行账户支付全部货款。中标供应商逾期交付货物的，每逾期一天，应向采购人支付合同总价0.1%的违约金。</w:t>
            </w:r>
          </w:p>
        </w:tc>
      </w:tr>
      <w:tr w:rsidR="00465D1D" w14:paraId="2537D6EE" w14:textId="77777777">
        <w:trPr>
          <w:trHeight w:val="454"/>
          <w:jc w:val="center"/>
        </w:trPr>
        <w:tc>
          <w:tcPr>
            <w:tcW w:w="1086" w:type="dxa"/>
            <w:vMerge/>
            <w:vAlign w:val="center"/>
          </w:tcPr>
          <w:p w14:paraId="549A0017" w14:textId="77777777" w:rsidR="00465D1D" w:rsidRDefault="00465D1D">
            <w:pPr>
              <w:widowControl/>
              <w:spacing w:line="360" w:lineRule="auto"/>
              <w:jc w:val="center"/>
              <w:rPr>
                <w:rFonts w:ascii="宋体" w:eastAsia="宋体" w:hAnsi="宋体" w:cs="宋体"/>
                <w:b/>
                <w:szCs w:val="21"/>
              </w:rPr>
            </w:pPr>
          </w:p>
        </w:tc>
        <w:tc>
          <w:tcPr>
            <w:tcW w:w="1740" w:type="dxa"/>
            <w:gridSpan w:val="2"/>
            <w:vMerge/>
            <w:vAlign w:val="center"/>
          </w:tcPr>
          <w:p w14:paraId="33024D05" w14:textId="77777777" w:rsidR="00465D1D" w:rsidRDefault="00465D1D">
            <w:pPr>
              <w:widowControl/>
              <w:spacing w:line="360" w:lineRule="auto"/>
              <w:jc w:val="center"/>
              <w:rPr>
                <w:rFonts w:ascii="宋体" w:eastAsia="宋体" w:hAnsi="宋体" w:cs="宋体"/>
                <w:b/>
                <w:szCs w:val="21"/>
              </w:rPr>
            </w:pPr>
          </w:p>
        </w:tc>
        <w:tc>
          <w:tcPr>
            <w:tcW w:w="6202" w:type="dxa"/>
            <w:vAlign w:val="center"/>
          </w:tcPr>
          <w:p w14:paraId="7A518A69" w14:textId="77777777" w:rsidR="00465D1D" w:rsidRDefault="00964977">
            <w:pPr>
              <w:widowControl/>
              <w:spacing w:line="360" w:lineRule="auto"/>
              <w:rPr>
                <w:rFonts w:ascii="宋体" w:eastAsia="宋体" w:hAnsi="宋体" w:cs="宋体"/>
                <w:szCs w:val="21"/>
              </w:rPr>
            </w:pPr>
            <w:r>
              <w:rPr>
                <w:rFonts w:ascii="宋体" w:eastAsia="宋体" w:hAnsi="宋体" w:cs="宋体" w:hint="eastAsia"/>
                <w:szCs w:val="21"/>
              </w:rPr>
              <w:t>6.2履约时间和地点：中标供应商在合同生效后，接到采购人交货通知之日起10个工作日内交货，交货地点为采购人指定本医院内位置。</w:t>
            </w:r>
          </w:p>
        </w:tc>
      </w:tr>
      <w:tr w:rsidR="00465D1D" w14:paraId="49FDAB11" w14:textId="77777777">
        <w:trPr>
          <w:trHeight w:val="454"/>
          <w:jc w:val="center"/>
        </w:trPr>
        <w:tc>
          <w:tcPr>
            <w:tcW w:w="1086" w:type="dxa"/>
            <w:vMerge/>
            <w:vAlign w:val="center"/>
          </w:tcPr>
          <w:p w14:paraId="6A3D3ACE" w14:textId="77777777" w:rsidR="00465D1D" w:rsidRDefault="00465D1D">
            <w:pPr>
              <w:widowControl/>
              <w:spacing w:line="360" w:lineRule="auto"/>
              <w:jc w:val="center"/>
              <w:rPr>
                <w:rFonts w:ascii="宋体" w:eastAsia="宋体" w:hAnsi="宋体" w:cs="宋体"/>
                <w:b/>
                <w:szCs w:val="21"/>
              </w:rPr>
            </w:pPr>
          </w:p>
        </w:tc>
        <w:tc>
          <w:tcPr>
            <w:tcW w:w="1740" w:type="dxa"/>
            <w:gridSpan w:val="2"/>
            <w:vMerge/>
            <w:vAlign w:val="center"/>
          </w:tcPr>
          <w:p w14:paraId="4A05E294" w14:textId="77777777" w:rsidR="00465D1D" w:rsidRDefault="00465D1D">
            <w:pPr>
              <w:widowControl/>
              <w:spacing w:line="360" w:lineRule="auto"/>
              <w:jc w:val="center"/>
              <w:rPr>
                <w:rFonts w:ascii="宋体" w:eastAsia="宋体" w:hAnsi="宋体" w:cs="宋体"/>
                <w:szCs w:val="21"/>
              </w:rPr>
            </w:pPr>
          </w:p>
        </w:tc>
        <w:tc>
          <w:tcPr>
            <w:tcW w:w="6202" w:type="dxa"/>
            <w:vAlign w:val="center"/>
          </w:tcPr>
          <w:p w14:paraId="5ED21743" w14:textId="77777777" w:rsidR="00465D1D" w:rsidRDefault="00964977">
            <w:pPr>
              <w:widowControl/>
              <w:spacing w:line="360" w:lineRule="auto"/>
              <w:rPr>
                <w:rFonts w:ascii="宋体" w:eastAsia="宋体" w:hAnsi="宋体" w:cs="宋体"/>
                <w:szCs w:val="21"/>
              </w:rPr>
            </w:pPr>
            <w:r>
              <w:rPr>
                <w:rFonts w:ascii="宋体" w:eastAsia="宋体" w:hAnsi="宋体" w:cs="宋体" w:hint="eastAsia"/>
                <w:szCs w:val="21"/>
              </w:rPr>
              <w:t>6.3验收条件：</w:t>
            </w:r>
          </w:p>
          <w:p w14:paraId="3CD35AD4" w14:textId="77777777" w:rsidR="00465D1D" w:rsidRDefault="00964977">
            <w:pPr>
              <w:widowControl/>
              <w:spacing w:line="360" w:lineRule="auto"/>
              <w:rPr>
                <w:rFonts w:ascii="宋体" w:eastAsia="宋体" w:hAnsi="宋体" w:cs="宋体"/>
                <w:bCs/>
                <w:szCs w:val="21"/>
              </w:rPr>
            </w:pPr>
            <w:r>
              <w:rPr>
                <w:rFonts w:ascii="宋体" w:eastAsia="宋体" w:hAnsi="宋体" w:cs="宋体" w:hint="eastAsia"/>
                <w:bCs/>
                <w:szCs w:val="21"/>
              </w:rPr>
              <w:t>当满足以下条件时，采购人才向中标供应商签发货物验收报告：</w:t>
            </w:r>
          </w:p>
          <w:p w14:paraId="135049AA" w14:textId="77777777" w:rsidR="00465D1D" w:rsidRDefault="00964977">
            <w:pPr>
              <w:widowControl/>
              <w:spacing w:line="360" w:lineRule="auto"/>
              <w:rPr>
                <w:rFonts w:ascii="宋体" w:eastAsia="宋体" w:hAnsi="宋体" w:cs="宋体"/>
                <w:bCs/>
                <w:szCs w:val="21"/>
              </w:rPr>
            </w:pPr>
            <w:r>
              <w:rPr>
                <w:rFonts w:ascii="宋体" w:eastAsia="宋体" w:hAnsi="宋体" w:cs="宋体" w:hint="eastAsia"/>
                <w:bCs/>
                <w:szCs w:val="21"/>
              </w:rPr>
              <w:t>a、中标供应商已按照合同规定提供了全部产品及完整的技术资料。</w:t>
            </w:r>
          </w:p>
          <w:p w14:paraId="0A26BFA6" w14:textId="77777777" w:rsidR="00465D1D" w:rsidRDefault="00964977">
            <w:pPr>
              <w:widowControl/>
              <w:spacing w:line="360" w:lineRule="auto"/>
              <w:rPr>
                <w:rFonts w:ascii="宋体" w:eastAsia="宋体" w:hAnsi="宋体" w:cs="宋体"/>
                <w:bCs/>
                <w:szCs w:val="21"/>
              </w:rPr>
            </w:pPr>
            <w:r>
              <w:rPr>
                <w:rFonts w:ascii="宋体" w:eastAsia="宋体" w:hAnsi="宋体" w:cs="宋体" w:hint="eastAsia"/>
                <w:bCs/>
                <w:szCs w:val="21"/>
              </w:rPr>
              <w:t>b、货物符合满足采购文件及合同的技术要求，性能满足要求。</w:t>
            </w:r>
          </w:p>
          <w:p w14:paraId="0B930253" w14:textId="77777777" w:rsidR="00465D1D" w:rsidRDefault="00964977">
            <w:pPr>
              <w:widowControl/>
              <w:spacing w:line="360" w:lineRule="auto"/>
              <w:rPr>
                <w:rFonts w:ascii="宋体" w:eastAsia="宋体" w:hAnsi="宋体" w:cs="宋体"/>
                <w:bCs/>
                <w:szCs w:val="21"/>
              </w:rPr>
            </w:pPr>
            <w:r>
              <w:rPr>
                <w:rFonts w:ascii="宋体" w:eastAsia="宋体" w:hAnsi="宋体" w:cs="宋体" w:hint="eastAsia"/>
                <w:bCs/>
                <w:szCs w:val="21"/>
              </w:rPr>
              <w:lastRenderedPageBreak/>
              <w:t>c、货物具备产品合格证。</w:t>
            </w:r>
          </w:p>
          <w:p w14:paraId="21CCD46A" w14:textId="77777777" w:rsidR="00465D1D" w:rsidRDefault="00964977">
            <w:pPr>
              <w:widowControl/>
              <w:spacing w:line="360" w:lineRule="auto"/>
              <w:rPr>
                <w:rFonts w:ascii="宋体" w:eastAsia="宋体" w:hAnsi="宋体" w:cs="宋体"/>
                <w:szCs w:val="21"/>
              </w:rPr>
            </w:pPr>
            <w:r>
              <w:rPr>
                <w:rFonts w:ascii="宋体" w:eastAsia="宋体" w:hAnsi="宋体" w:cs="宋体" w:hint="eastAsia"/>
                <w:szCs w:val="21"/>
              </w:rPr>
              <w:t>d、中标供应商货物经过双方检验认可后，签署验收报告，产品保修期自验收合格之日起算，由中标供应商提供产品保修文件。</w:t>
            </w:r>
          </w:p>
        </w:tc>
      </w:tr>
      <w:tr w:rsidR="00465D1D" w14:paraId="56133990" w14:textId="77777777">
        <w:trPr>
          <w:trHeight w:val="454"/>
          <w:jc w:val="center"/>
        </w:trPr>
        <w:tc>
          <w:tcPr>
            <w:tcW w:w="1086" w:type="dxa"/>
            <w:vMerge/>
            <w:vAlign w:val="center"/>
          </w:tcPr>
          <w:p w14:paraId="23988CBC" w14:textId="77777777" w:rsidR="00465D1D" w:rsidRDefault="00465D1D">
            <w:pPr>
              <w:widowControl/>
              <w:spacing w:line="360" w:lineRule="auto"/>
              <w:jc w:val="center"/>
              <w:rPr>
                <w:rFonts w:ascii="宋体" w:eastAsia="宋体" w:hAnsi="宋体" w:cs="宋体"/>
                <w:b/>
                <w:szCs w:val="21"/>
              </w:rPr>
            </w:pPr>
          </w:p>
        </w:tc>
        <w:tc>
          <w:tcPr>
            <w:tcW w:w="1740" w:type="dxa"/>
            <w:gridSpan w:val="2"/>
            <w:vMerge/>
            <w:vAlign w:val="center"/>
          </w:tcPr>
          <w:p w14:paraId="2E5BCECE" w14:textId="77777777" w:rsidR="00465D1D" w:rsidRDefault="00465D1D">
            <w:pPr>
              <w:widowControl/>
              <w:spacing w:line="360" w:lineRule="auto"/>
              <w:jc w:val="center"/>
              <w:rPr>
                <w:rFonts w:ascii="宋体" w:eastAsia="宋体" w:hAnsi="宋体" w:cs="宋体"/>
                <w:szCs w:val="21"/>
              </w:rPr>
            </w:pPr>
          </w:p>
        </w:tc>
        <w:tc>
          <w:tcPr>
            <w:tcW w:w="6202" w:type="dxa"/>
          </w:tcPr>
          <w:p w14:paraId="13198BC1" w14:textId="3B3B36C7" w:rsidR="00465D1D" w:rsidRDefault="00964977">
            <w:pPr>
              <w:widowControl/>
              <w:spacing w:line="360" w:lineRule="auto"/>
              <w:rPr>
                <w:rFonts w:ascii="宋体" w:eastAsia="宋体" w:hAnsi="宋体" w:cs="宋体"/>
                <w:szCs w:val="21"/>
              </w:rPr>
            </w:pPr>
            <w:r>
              <w:rPr>
                <w:rFonts w:ascii="宋体" w:eastAsia="宋体" w:hAnsi="宋体" w:cs="宋体" w:hint="eastAsia"/>
                <w:szCs w:val="21"/>
              </w:rPr>
              <w:t>6.4违约责任：中标</w:t>
            </w:r>
            <w:r w:rsidR="009F3092">
              <w:rPr>
                <w:rFonts w:ascii="宋体" w:eastAsia="宋体" w:hAnsi="宋体" w:cs="宋体" w:hint="eastAsia"/>
                <w:bCs/>
                <w:szCs w:val="21"/>
              </w:rPr>
              <w:t>供应商所交付产品、工程或服务不符合其相</w:t>
            </w:r>
            <w:r>
              <w:rPr>
                <w:rFonts w:ascii="宋体" w:eastAsia="宋体" w:hAnsi="宋体" w:cs="宋体" w:hint="eastAsia"/>
                <w:bCs/>
                <w:szCs w:val="21"/>
              </w:rPr>
              <w:t>应承诺的，或在响应阶段为了成交而盲目虚假承诺、低价恶性竞争，在履约阶段则通过偷工减料、以次充好而获取利润的，采购人将根据国家有关法律法规相关规则追究</w:t>
            </w:r>
            <w:r>
              <w:rPr>
                <w:rFonts w:ascii="宋体" w:eastAsia="宋体" w:hAnsi="宋体" w:cs="宋体" w:hint="eastAsia"/>
                <w:szCs w:val="21"/>
              </w:rPr>
              <w:t>中标</w:t>
            </w:r>
            <w:r>
              <w:rPr>
                <w:rFonts w:ascii="宋体" w:eastAsia="宋体" w:hAnsi="宋体" w:cs="宋体" w:hint="eastAsia"/>
                <w:bCs/>
                <w:szCs w:val="21"/>
              </w:rPr>
              <w:t>供应商违约责任</w:t>
            </w:r>
            <w:r>
              <w:rPr>
                <w:rFonts w:ascii="宋体" w:eastAsia="宋体" w:hAnsi="宋体" w:cs="宋体" w:hint="eastAsia"/>
                <w:szCs w:val="21"/>
              </w:rPr>
              <w:t>。</w:t>
            </w:r>
          </w:p>
        </w:tc>
      </w:tr>
      <w:tr w:rsidR="00465D1D" w14:paraId="23A2F665" w14:textId="77777777">
        <w:trPr>
          <w:trHeight w:val="675"/>
          <w:jc w:val="center"/>
        </w:trPr>
        <w:tc>
          <w:tcPr>
            <w:tcW w:w="1086" w:type="dxa"/>
            <w:vAlign w:val="center"/>
          </w:tcPr>
          <w:p w14:paraId="41B2ACEC" w14:textId="77777777" w:rsidR="00465D1D" w:rsidRDefault="00964977">
            <w:pPr>
              <w:widowControl/>
              <w:spacing w:line="360" w:lineRule="auto"/>
              <w:jc w:val="center"/>
              <w:rPr>
                <w:rFonts w:ascii="宋体" w:eastAsia="宋体" w:hAnsi="宋体" w:cs="宋体"/>
                <w:bCs/>
                <w:szCs w:val="21"/>
              </w:rPr>
            </w:pPr>
            <w:r>
              <w:rPr>
                <w:rFonts w:ascii="宋体" w:eastAsia="宋体" w:hAnsi="宋体" w:cs="宋体" w:hint="eastAsia"/>
                <w:bCs/>
                <w:szCs w:val="21"/>
              </w:rPr>
              <w:t>7</w:t>
            </w:r>
          </w:p>
        </w:tc>
        <w:tc>
          <w:tcPr>
            <w:tcW w:w="1740" w:type="dxa"/>
            <w:gridSpan w:val="2"/>
            <w:vAlign w:val="center"/>
          </w:tcPr>
          <w:p w14:paraId="0E1B7A9C" w14:textId="77777777" w:rsidR="00465D1D" w:rsidRDefault="00964977">
            <w:pPr>
              <w:widowControl/>
              <w:spacing w:line="360" w:lineRule="auto"/>
              <w:jc w:val="center"/>
              <w:rPr>
                <w:rFonts w:ascii="宋体" w:eastAsia="宋体" w:hAnsi="宋体" w:cs="宋体"/>
                <w:bCs/>
                <w:szCs w:val="21"/>
              </w:rPr>
            </w:pPr>
            <w:r>
              <w:rPr>
                <w:rFonts w:ascii="宋体" w:eastAsia="宋体" w:hAnsi="宋体" w:cs="宋体" w:hint="eastAsia"/>
                <w:bCs/>
                <w:szCs w:val="21"/>
              </w:rPr>
              <w:t>关于报价</w:t>
            </w:r>
          </w:p>
        </w:tc>
        <w:tc>
          <w:tcPr>
            <w:tcW w:w="6202" w:type="dxa"/>
          </w:tcPr>
          <w:p w14:paraId="61D85981" w14:textId="471239FA" w:rsidR="00465D1D" w:rsidRDefault="00964977">
            <w:pPr>
              <w:widowControl/>
              <w:spacing w:line="360" w:lineRule="auto"/>
              <w:jc w:val="left"/>
              <w:rPr>
                <w:rFonts w:ascii="宋体" w:eastAsia="宋体" w:hAnsi="宋体" w:cs="宋体"/>
                <w:szCs w:val="21"/>
              </w:rPr>
            </w:pPr>
            <w:r>
              <w:rPr>
                <w:rFonts w:ascii="宋体" w:eastAsia="宋体" w:hAnsi="宋体" w:cs="宋体" w:hint="eastAsia"/>
                <w:szCs w:val="21"/>
              </w:rPr>
              <w:t>7.1本项目采购预算为</w:t>
            </w:r>
            <w:r w:rsidR="001A41CE">
              <w:rPr>
                <w:rFonts w:ascii="宋体" w:eastAsia="宋体" w:hAnsi="宋体" w:cs="宋体"/>
                <w:szCs w:val="21"/>
              </w:rPr>
              <w:t>8500</w:t>
            </w:r>
            <w:r>
              <w:rPr>
                <w:rFonts w:ascii="宋体" w:eastAsia="宋体" w:hAnsi="宋体" w:cs="宋体" w:hint="eastAsia"/>
                <w:szCs w:val="21"/>
              </w:rPr>
              <w:t>元，投标人如高于上述各项预算报价视为无效投标。产品总报价中应包含：人工费用、运输费用、货物材料搬运费、安全措施及安装工人保险费、相关税费等使项目验收合格达到可使用状态的全部费用。</w:t>
            </w:r>
          </w:p>
        </w:tc>
      </w:tr>
    </w:tbl>
    <w:p w14:paraId="6BCCF077" w14:textId="77777777" w:rsidR="00465D1D" w:rsidRDefault="00465D1D">
      <w:pPr>
        <w:spacing w:line="360" w:lineRule="auto"/>
        <w:jc w:val="left"/>
        <w:rPr>
          <w:rFonts w:ascii="宋体" w:hAnsi="宋体"/>
          <w:szCs w:val="21"/>
        </w:rPr>
      </w:pPr>
    </w:p>
    <w:sectPr w:rsidR="00465D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宋体"/>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0" w:usb3="00000000" w:csb0="2000019F" w:csb1="4F010000"/>
  </w:font>
  <w:font w:name="等线 Light">
    <w:altName w:val="微软雅黑"/>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jMDExZGFmMDU1MWU1YjBlNzgwOWYwNDNiMjE1NGQifQ=="/>
  </w:docVars>
  <w:rsids>
    <w:rsidRoot w:val="00EC4B27"/>
    <w:rsid w:val="CFFF5AE2"/>
    <w:rsid w:val="F27753DC"/>
    <w:rsid w:val="00006AF5"/>
    <w:rsid w:val="00014286"/>
    <w:rsid w:val="00033279"/>
    <w:rsid w:val="00067341"/>
    <w:rsid w:val="00080A6C"/>
    <w:rsid w:val="00082028"/>
    <w:rsid w:val="00097E8E"/>
    <w:rsid w:val="000C3DE9"/>
    <w:rsid w:val="000C5E0C"/>
    <w:rsid w:val="000E75D5"/>
    <w:rsid w:val="000F7492"/>
    <w:rsid w:val="0016055B"/>
    <w:rsid w:val="001749A5"/>
    <w:rsid w:val="00174C07"/>
    <w:rsid w:val="001A41CE"/>
    <w:rsid w:val="001B6657"/>
    <w:rsid w:val="001D040E"/>
    <w:rsid w:val="002316FA"/>
    <w:rsid w:val="00232B68"/>
    <w:rsid w:val="002420CF"/>
    <w:rsid w:val="002639DE"/>
    <w:rsid w:val="00285A01"/>
    <w:rsid w:val="002A51F2"/>
    <w:rsid w:val="002A636C"/>
    <w:rsid w:val="002D1463"/>
    <w:rsid w:val="002D1E61"/>
    <w:rsid w:val="00306D88"/>
    <w:rsid w:val="00340432"/>
    <w:rsid w:val="00343E31"/>
    <w:rsid w:val="003573C9"/>
    <w:rsid w:val="003653CE"/>
    <w:rsid w:val="0037480D"/>
    <w:rsid w:val="003B1B6E"/>
    <w:rsid w:val="003B504C"/>
    <w:rsid w:val="003B5E0A"/>
    <w:rsid w:val="003B7894"/>
    <w:rsid w:val="003C4924"/>
    <w:rsid w:val="003C4A8C"/>
    <w:rsid w:val="003F4F5E"/>
    <w:rsid w:val="00404638"/>
    <w:rsid w:val="00422B48"/>
    <w:rsid w:val="00424E94"/>
    <w:rsid w:val="00434A9E"/>
    <w:rsid w:val="004379E4"/>
    <w:rsid w:val="00465D1D"/>
    <w:rsid w:val="004A3A55"/>
    <w:rsid w:val="005015A9"/>
    <w:rsid w:val="00530E42"/>
    <w:rsid w:val="00531B4A"/>
    <w:rsid w:val="00532622"/>
    <w:rsid w:val="00534EAA"/>
    <w:rsid w:val="0056427E"/>
    <w:rsid w:val="00577810"/>
    <w:rsid w:val="005846A4"/>
    <w:rsid w:val="005920A4"/>
    <w:rsid w:val="005B2F10"/>
    <w:rsid w:val="005C45B7"/>
    <w:rsid w:val="005C77BF"/>
    <w:rsid w:val="00631F1A"/>
    <w:rsid w:val="006B163F"/>
    <w:rsid w:val="006C0EB6"/>
    <w:rsid w:val="006C4EF5"/>
    <w:rsid w:val="006E1CB0"/>
    <w:rsid w:val="007006E2"/>
    <w:rsid w:val="00705112"/>
    <w:rsid w:val="0072425C"/>
    <w:rsid w:val="00726C16"/>
    <w:rsid w:val="007513FE"/>
    <w:rsid w:val="00777AD3"/>
    <w:rsid w:val="00793D12"/>
    <w:rsid w:val="007A312D"/>
    <w:rsid w:val="007D1F25"/>
    <w:rsid w:val="007F6273"/>
    <w:rsid w:val="007F761B"/>
    <w:rsid w:val="00814590"/>
    <w:rsid w:val="00822EC9"/>
    <w:rsid w:val="00837080"/>
    <w:rsid w:val="008404AE"/>
    <w:rsid w:val="00840FC3"/>
    <w:rsid w:val="008666B5"/>
    <w:rsid w:val="00870F40"/>
    <w:rsid w:val="00885B4A"/>
    <w:rsid w:val="008A585B"/>
    <w:rsid w:val="008A66B4"/>
    <w:rsid w:val="008A6FCC"/>
    <w:rsid w:val="008B5505"/>
    <w:rsid w:val="008D5505"/>
    <w:rsid w:val="009266D7"/>
    <w:rsid w:val="00934C52"/>
    <w:rsid w:val="00944242"/>
    <w:rsid w:val="00945D7B"/>
    <w:rsid w:val="00964977"/>
    <w:rsid w:val="0097321F"/>
    <w:rsid w:val="009C0872"/>
    <w:rsid w:val="009E6C1D"/>
    <w:rsid w:val="009F3092"/>
    <w:rsid w:val="00A16EC1"/>
    <w:rsid w:val="00A20AA6"/>
    <w:rsid w:val="00A27256"/>
    <w:rsid w:val="00A3072E"/>
    <w:rsid w:val="00A309DE"/>
    <w:rsid w:val="00A52504"/>
    <w:rsid w:val="00A60A34"/>
    <w:rsid w:val="00A64BC3"/>
    <w:rsid w:val="00A66149"/>
    <w:rsid w:val="00A7321E"/>
    <w:rsid w:val="00A813DA"/>
    <w:rsid w:val="00AA488A"/>
    <w:rsid w:val="00AA76B8"/>
    <w:rsid w:val="00AB477B"/>
    <w:rsid w:val="00AD6047"/>
    <w:rsid w:val="00AE2096"/>
    <w:rsid w:val="00B20449"/>
    <w:rsid w:val="00B27132"/>
    <w:rsid w:val="00B524DB"/>
    <w:rsid w:val="00BA2D2C"/>
    <w:rsid w:val="00BA6380"/>
    <w:rsid w:val="00BC203C"/>
    <w:rsid w:val="00BC5CD5"/>
    <w:rsid w:val="00C1732F"/>
    <w:rsid w:val="00C2775C"/>
    <w:rsid w:val="00C46150"/>
    <w:rsid w:val="00C96CA5"/>
    <w:rsid w:val="00CA196E"/>
    <w:rsid w:val="00CB7CCF"/>
    <w:rsid w:val="00CC53B3"/>
    <w:rsid w:val="00CE7C4D"/>
    <w:rsid w:val="00CF732C"/>
    <w:rsid w:val="00D10E62"/>
    <w:rsid w:val="00D143E6"/>
    <w:rsid w:val="00D145AD"/>
    <w:rsid w:val="00D25DF1"/>
    <w:rsid w:val="00D438FE"/>
    <w:rsid w:val="00DA0480"/>
    <w:rsid w:val="00DF1022"/>
    <w:rsid w:val="00E1711A"/>
    <w:rsid w:val="00E6374A"/>
    <w:rsid w:val="00E80775"/>
    <w:rsid w:val="00EA3CDE"/>
    <w:rsid w:val="00EB1E94"/>
    <w:rsid w:val="00EB28BC"/>
    <w:rsid w:val="00EB40C6"/>
    <w:rsid w:val="00EB6E7D"/>
    <w:rsid w:val="00EB72EF"/>
    <w:rsid w:val="00EC2A27"/>
    <w:rsid w:val="00EC4B27"/>
    <w:rsid w:val="00EC4EC4"/>
    <w:rsid w:val="00EE325E"/>
    <w:rsid w:val="00EF76BB"/>
    <w:rsid w:val="00F04A19"/>
    <w:rsid w:val="00F21E5A"/>
    <w:rsid w:val="00F51920"/>
    <w:rsid w:val="00F51A94"/>
    <w:rsid w:val="00F83CD6"/>
    <w:rsid w:val="00FA1633"/>
    <w:rsid w:val="00FB0830"/>
    <w:rsid w:val="00FB1B3A"/>
    <w:rsid w:val="00FB5F4A"/>
    <w:rsid w:val="00FC7D6A"/>
    <w:rsid w:val="04B65AC7"/>
    <w:rsid w:val="0B517B6C"/>
    <w:rsid w:val="0C203F65"/>
    <w:rsid w:val="0C505483"/>
    <w:rsid w:val="0ED87208"/>
    <w:rsid w:val="0FC8472A"/>
    <w:rsid w:val="148D5000"/>
    <w:rsid w:val="170F7A65"/>
    <w:rsid w:val="18AC0597"/>
    <w:rsid w:val="21875313"/>
    <w:rsid w:val="2A0E49A3"/>
    <w:rsid w:val="2CFA2C6E"/>
    <w:rsid w:val="3A223D0C"/>
    <w:rsid w:val="3DF17F4E"/>
    <w:rsid w:val="3E3B5A75"/>
    <w:rsid w:val="3EEF0925"/>
    <w:rsid w:val="44E94CF5"/>
    <w:rsid w:val="4ADA5942"/>
    <w:rsid w:val="51BD6E9C"/>
    <w:rsid w:val="545A24A8"/>
    <w:rsid w:val="59C01C28"/>
    <w:rsid w:val="5AE34457"/>
    <w:rsid w:val="5E0E687F"/>
    <w:rsid w:val="61093B2D"/>
    <w:rsid w:val="636D14A2"/>
    <w:rsid w:val="659D52A5"/>
    <w:rsid w:val="6719236C"/>
    <w:rsid w:val="769C613F"/>
    <w:rsid w:val="7C635798"/>
    <w:rsid w:val="7D7D78D5"/>
    <w:rsid w:val="7E646A6D"/>
    <w:rsid w:val="7FFD6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06F4C"/>
  <w15:docId w15:val="{6FE2B0B9-ED89-496C-AC85-78E6897FD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230</Words>
  <Characters>1314</Characters>
  <Application>Microsoft Office Word</Application>
  <DocSecurity>0</DocSecurity>
  <Lines>10</Lines>
  <Paragraphs>3</Paragraphs>
  <ScaleCrop>false</ScaleCrop>
  <Company>HP Inc.</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smbu</dc:creator>
  <cp:lastModifiedBy>Administrator</cp:lastModifiedBy>
  <cp:revision>15</cp:revision>
  <cp:lastPrinted>2025-09-19T08:44:00Z</cp:lastPrinted>
  <dcterms:created xsi:type="dcterms:W3CDTF">2025-04-30T00:50:00Z</dcterms:created>
  <dcterms:modified xsi:type="dcterms:W3CDTF">2025-10-31T02:34:00Z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2645642CEE00B08C5D0EB8686EEC7AEE_43</vt:lpwstr>
  </property>
  <property fmtid="{D5CDD505-2E9C-101B-9397-08002B2CF9AE}" pid="4" name="KSOTemplateDocerSaveRecord">
    <vt:lpwstr>eyJoZGlkIjoiMGYyZjZjMDc3YjgzZTk3YjYyMGY0MGU3ZWQ3YTFiMzQiLCJ1c2VySWQiOiI4NjE5OTU0NzkifQ==</vt:lpwstr>
  </property>
</Properties>
</file>