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1CF64">
      <w:pPr>
        <w:adjustRightInd/>
        <w:spacing w:after="0" w:line="500" w:lineRule="exact"/>
        <w:ind w:firstLine="640" w:firstLineChars="200"/>
        <w:textAlignment w:val="auto"/>
        <w:rPr>
          <w:rFonts w:ascii="Times New Roman" w:hAnsi="Times New Roman"/>
          <w:kern w:val="2"/>
          <w:szCs w:val="32"/>
          <w:u w:val="single"/>
        </w:rPr>
      </w:pPr>
      <w:r>
        <w:rPr>
          <w:rFonts w:hint="eastAsia" w:ascii="Times New Roman" w:hAnsi="Times New Roman"/>
          <w:kern w:val="2"/>
          <w:szCs w:val="32"/>
          <w:u w:val="single"/>
        </w:rPr>
        <w:t>（1）采样方式：仪器同时具备吸气采样和擦拭采样方式。</w:t>
      </w:r>
    </w:p>
    <w:p w14:paraId="3BC109CF">
      <w:pPr>
        <w:adjustRightInd/>
        <w:spacing w:after="0" w:line="500" w:lineRule="exact"/>
        <w:ind w:firstLine="640" w:firstLineChars="200"/>
        <w:textAlignment w:val="auto"/>
        <w:rPr>
          <w:rFonts w:ascii="Times New Roman" w:hAnsi="Times New Roman"/>
          <w:kern w:val="2"/>
          <w:szCs w:val="32"/>
          <w:u w:val="single"/>
        </w:rPr>
      </w:pPr>
      <w:r>
        <w:rPr>
          <w:rFonts w:hint="eastAsia" w:ascii="Times New Roman" w:hAnsi="Times New Roman"/>
          <w:kern w:val="2"/>
          <w:szCs w:val="32"/>
          <w:u w:val="single"/>
        </w:rPr>
        <w:t>（2）灵敏度：纳克级。</w:t>
      </w:r>
    </w:p>
    <w:p w14:paraId="3B56A5EC">
      <w:pPr>
        <w:adjustRightInd/>
        <w:spacing w:after="0" w:line="500" w:lineRule="exact"/>
        <w:ind w:firstLine="640" w:firstLineChars="200"/>
        <w:textAlignment w:val="auto"/>
        <w:rPr>
          <w:rFonts w:ascii="Times New Roman" w:hAnsi="Times New Roman"/>
          <w:kern w:val="2"/>
          <w:szCs w:val="32"/>
          <w:u w:val="single"/>
        </w:rPr>
      </w:pPr>
      <w:r>
        <w:rPr>
          <w:rFonts w:hint="eastAsia" w:ascii="Times New Roman" w:hAnsi="Times New Roman"/>
          <w:kern w:val="2"/>
          <w:szCs w:val="32"/>
          <w:u w:val="single"/>
        </w:rPr>
        <w:t>（3）</w:t>
      </w:r>
      <w:r>
        <w:rPr>
          <w:rFonts w:ascii="Times New Roman" w:hAnsi="Times New Roman"/>
          <w:kern w:val="2"/>
          <w:szCs w:val="32"/>
          <w:u w:val="single"/>
        </w:rPr>
        <w:t>可探测种类应包含但不限于：梯恩梯(TNT)、硝化甘油（NG）、硝酸铵</w:t>
      </w:r>
      <w:r>
        <w:rPr>
          <w:rFonts w:hint="eastAsia" w:ascii="Times New Roman" w:hAnsi="Times New Roman"/>
          <w:kern w:val="2"/>
          <w:szCs w:val="32"/>
          <w:u w:val="single"/>
        </w:rPr>
        <w:t>（</w:t>
      </w:r>
      <w:r>
        <w:rPr>
          <w:rFonts w:ascii="Times New Roman" w:hAnsi="Times New Roman"/>
          <w:kern w:val="2"/>
          <w:szCs w:val="32"/>
          <w:u w:val="single"/>
        </w:rPr>
        <w:t>AN</w:t>
      </w:r>
      <w:r>
        <w:rPr>
          <w:rFonts w:hint="eastAsia" w:ascii="Times New Roman" w:hAnsi="Times New Roman"/>
          <w:kern w:val="2"/>
          <w:szCs w:val="32"/>
          <w:u w:val="single"/>
        </w:rPr>
        <w:t>）</w:t>
      </w:r>
      <w:r>
        <w:rPr>
          <w:rFonts w:ascii="Times New Roman" w:hAnsi="Times New Roman"/>
          <w:kern w:val="2"/>
          <w:szCs w:val="32"/>
          <w:u w:val="single"/>
        </w:rPr>
        <w:t>、黑火药</w:t>
      </w:r>
      <w:r>
        <w:rPr>
          <w:rFonts w:hint="eastAsia" w:ascii="Times New Roman" w:hAnsi="Times New Roman"/>
          <w:kern w:val="2"/>
          <w:szCs w:val="32"/>
          <w:u w:val="single"/>
        </w:rPr>
        <w:t>（</w:t>
      </w:r>
      <w:r>
        <w:rPr>
          <w:rFonts w:ascii="Times New Roman" w:hAnsi="Times New Roman"/>
          <w:kern w:val="2"/>
          <w:szCs w:val="32"/>
          <w:u w:val="single"/>
        </w:rPr>
        <w:t>BP</w:t>
      </w:r>
      <w:r>
        <w:rPr>
          <w:rFonts w:hint="eastAsia" w:ascii="Times New Roman" w:hAnsi="Times New Roman"/>
          <w:kern w:val="2"/>
          <w:szCs w:val="32"/>
          <w:u w:val="single"/>
        </w:rPr>
        <w:t>）</w:t>
      </w:r>
      <w:r>
        <w:rPr>
          <w:rFonts w:ascii="Times New Roman" w:hAnsi="Times New Roman"/>
          <w:kern w:val="2"/>
          <w:szCs w:val="32"/>
          <w:u w:val="single"/>
        </w:rPr>
        <w:t>、黑索今</w:t>
      </w:r>
      <w:r>
        <w:rPr>
          <w:rFonts w:hint="eastAsia" w:ascii="Times New Roman" w:hAnsi="Times New Roman"/>
          <w:kern w:val="2"/>
          <w:szCs w:val="32"/>
          <w:u w:val="single"/>
        </w:rPr>
        <w:t>（</w:t>
      </w:r>
      <w:r>
        <w:rPr>
          <w:rFonts w:ascii="Times New Roman" w:hAnsi="Times New Roman"/>
          <w:kern w:val="2"/>
          <w:szCs w:val="32"/>
          <w:u w:val="single"/>
        </w:rPr>
        <w:t>RDX</w:t>
      </w:r>
      <w:r>
        <w:rPr>
          <w:rFonts w:hint="eastAsia" w:ascii="Times New Roman" w:hAnsi="Times New Roman"/>
          <w:kern w:val="2"/>
          <w:szCs w:val="32"/>
          <w:u w:val="single"/>
        </w:rPr>
        <w:t>）</w:t>
      </w:r>
      <w:r>
        <w:rPr>
          <w:rFonts w:ascii="Times New Roman" w:hAnsi="Times New Roman"/>
          <w:kern w:val="2"/>
          <w:szCs w:val="32"/>
          <w:u w:val="single"/>
        </w:rPr>
        <w:t>、太安</w:t>
      </w:r>
      <w:r>
        <w:rPr>
          <w:rFonts w:hint="eastAsia" w:ascii="Times New Roman" w:hAnsi="Times New Roman"/>
          <w:kern w:val="2"/>
          <w:szCs w:val="32"/>
          <w:u w:val="single"/>
        </w:rPr>
        <w:t>（</w:t>
      </w:r>
      <w:r>
        <w:rPr>
          <w:rFonts w:ascii="Times New Roman" w:hAnsi="Times New Roman"/>
          <w:kern w:val="2"/>
          <w:szCs w:val="32"/>
          <w:u w:val="single"/>
        </w:rPr>
        <w:t>PETN</w:t>
      </w:r>
      <w:r>
        <w:rPr>
          <w:rFonts w:hint="eastAsia" w:ascii="Times New Roman" w:hAnsi="Times New Roman"/>
          <w:kern w:val="2"/>
          <w:szCs w:val="32"/>
          <w:u w:val="single"/>
        </w:rPr>
        <w:t>）</w:t>
      </w:r>
      <w:r>
        <w:rPr>
          <w:rFonts w:ascii="Times New Roman" w:hAnsi="Times New Roman"/>
          <w:kern w:val="2"/>
          <w:szCs w:val="32"/>
          <w:u w:val="single"/>
        </w:rPr>
        <w:t>、二硝基甲苯（DNT）、奥克托今</w:t>
      </w:r>
      <w:r>
        <w:rPr>
          <w:rFonts w:hint="eastAsia" w:ascii="Times New Roman" w:hAnsi="Times New Roman"/>
          <w:kern w:val="2"/>
          <w:szCs w:val="32"/>
          <w:u w:val="single"/>
        </w:rPr>
        <w:t>（</w:t>
      </w:r>
      <w:r>
        <w:rPr>
          <w:rFonts w:ascii="Times New Roman" w:hAnsi="Times New Roman"/>
          <w:kern w:val="2"/>
          <w:szCs w:val="32"/>
          <w:u w:val="single"/>
        </w:rPr>
        <w:t>HMX</w:t>
      </w:r>
      <w:r>
        <w:rPr>
          <w:rFonts w:hint="eastAsia" w:ascii="Times New Roman" w:hAnsi="Times New Roman"/>
          <w:kern w:val="2"/>
          <w:szCs w:val="32"/>
          <w:u w:val="single"/>
        </w:rPr>
        <w:t>）</w:t>
      </w:r>
      <w:r>
        <w:rPr>
          <w:rFonts w:ascii="Times New Roman" w:hAnsi="Times New Roman"/>
          <w:kern w:val="2"/>
          <w:szCs w:val="32"/>
          <w:u w:val="single"/>
        </w:rPr>
        <w:t>、三丙酮三过氧化物</w:t>
      </w:r>
      <w:r>
        <w:rPr>
          <w:rFonts w:hint="eastAsia" w:ascii="Times New Roman" w:hAnsi="Times New Roman"/>
          <w:kern w:val="2"/>
          <w:szCs w:val="32"/>
          <w:u w:val="single"/>
        </w:rPr>
        <w:t>（</w:t>
      </w:r>
      <w:r>
        <w:rPr>
          <w:rFonts w:ascii="Times New Roman" w:hAnsi="Times New Roman"/>
          <w:kern w:val="2"/>
          <w:szCs w:val="32"/>
          <w:u w:val="single"/>
        </w:rPr>
        <w:t>TATP</w:t>
      </w:r>
      <w:r>
        <w:rPr>
          <w:rFonts w:hint="eastAsia" w:ascii="Times New Roman" w:hAnsi="Times New Roman"/>
          <w:kern w:val="2"/>
          <w:szCs w:val="32"/>
          <w:u w:val="single"/>
        </w:rPr>
        <w:t>）</w:t>
      </w:r>
      <w:r>
        <w:rPr>
          <w:rFonts w:ascii="Times New Roman" w:hAnsi="Times New Roman"/>
          <w:kern w:val="2"/>
          <w:szCs w:val="32"/>
          <w:u w:val="single"/>
        </w:rPr>
        <w:t>、特屈儿（TETRYL）、硝基苯</w:t>
      </w:r>
      <w:r>
        <w:rPr>
          <w:rFonts w:hint="eastAsia" w:ascii="Times New Roman" w:hAnsi="Times New Roman"/>
          <w:kern w:val="2"/>
          <w:szCs w:val="32"/>
          <w:u w:val="single"/>
        </w:rPr>
        <w:t>（</w:t>
      </w:r>
      <w:r>
        <w:rPr>
          <w:rFonts w:ascii="Times New Roman" w:hAnsi="Times New Roman"/>
          <w:kern w:val="2"/>
          <w:szCs w:val="32"/>
          <w:u w:val="single"/>
        </w:rPr>
        <w:t>NT</w:t>
      </w:r>
      <w:r>
        <w:rPr>
          <w:rFonts w:hint="eastAsia" w:ascii="Times New Roman" w:hAnsi="Times New Roman"/>
          <w:kern w:val="2"/>
          <w:szCs w:val="32"/>
          <w:u w:val="single"/>
        </w:rPr>
        <w:t>）、8701等多种炸药</w:t>
      </w:r>
      <w:r>
        <w:rPr>
          <w:rFonts w:ascii="Times New Roman" w:hAnsi="Times New Roman"/>
          <w:kern w:val="2"/>
          <w:szCs w:val="32"/>
          <w:u w:val="single"/>
        </w:rPr>
        <w:t>；</w:t>
      </w:r>
      <w:r>
        <w:rPr>
          <w:rFonts w:hint="eastAsia" w:ascii="Times New Roman" w:hAnsi="Times New Roman"/>
          <w:kern w:val="2"/>
          <w:szCs w:val="32"/>
          <w:u w:val="single"/>
        </w:rPr>
        <w:t>甲基苯丙胺（MA）、盐酸吗啡、杜冷丁、氯胺酮、可卡因、摇头丸（MDMA）、麻黄碱、美沙酮等多种毒品。</w:t>
      </w:r>
    </w:p>
    <w:p w14:paraId="69EB46ED">
      <w:pPr>
        <w:adjustRightInd/>
        <w:spacing w:after="0" w:line="500" w:lineRule="exact"/>
        <w:ind w:firstLine="640" w:firstLineChars="200"/>
        <w:textAlignment w:val="auto"/>
        <w:rPr>
          <w:rFonts w:ascii="Times New Roman" w:hAnsi="Times New Roman"/>
          <w:kern w:val="2"/>
          <w:szCs w:val="32"/>
          <w:u w:val="single"/>
        </w:rPr>
      </w:pPr>
      <w:r>
        <w:rPr>
          <w:rFonts w:hint="eastAsia" w:ascii="Times New Roman" w:hAnsi="Times New Roman"/>
          <w:kern w:val="2"/>
          <w:szCs w:val="32"/>
          <w:u w:val="single"/>
        </w:rPr>
        <w:t>（4）启动时间：小于等于10秒，满足紧急情况下的快速相应需求。</w:t>
      </w:r>
    </w:p>
    <w:p w14:paraId="4A4741D3">
      <w:pPr>
        <w:adjustRightInd/>
        <w:spacing w:after="0" w:line="500" w:lineRule="exact"/>
        <w:ind w:firstLine="640" w:firstLineChars="200"/>
        <w:textAlignment w:val="auto"/>
        <w:rPr>
          <w:rFonts w:ascii="Times New Roman" w:hAnsi="Times New Roman"/>
          <w:kern w:val="2"/>
          <w:szCs w:val="32"/>
          <w:u w:val="single"/>
        </w:rPr>
      </w:pPr>
      <w:r>
        <w:rPr>
          <w:rFonts w:ascii="Times New Roman" w:hAnsi="Times New Roman"/>
          <w:kern w:val="2"/>
          <w:szCs w:val="32"/>
          <w:u w:val="single"/>
        </w:rPr>
        <w:t>（</w:t>
      </w:r>
      <w:r>
        <w:rPr>
          <w:rFonts w:hint="eastAsia" w:ascii="Times New Roman" w:hAnsi="Times New Roman"/>
          <w:kern w:val="2"/>
          <w:szCs w:val="32"/>
          <w:u w:val="single"/>
        </w:rPr>
        <w:t>5</w:t>
      </w:r>
      <w:r>
        <w:rPr>
          <w:rFonts w:ascii="Times New Roman" w:hAnsi="Times New Roman"/>
          <w:kern w:val="2"/>
          <w:szCs w:val="32"/>
          <w:u w:val="single"/>
        </w:rPr>
        <w:t>）报警响应时间：应小于等于5s</w:t>
      </w:r>
      <w:r>
        <w:rPr>
          <w:rFonts w:hint="eastAsia" w:ascii="Times New Roman" w:hAnsi="Times New Roman"/>
          <w:kern w:val="2"/>
          <w:szCs w:val="32"/>
          <w:u w:val="single"/>
        </w:rPr>
        <w:t>。</w:t>
      </w:r>
    </w:p>
    <w:p w14:paraId="138E7117">
      <w:pPr>
        <w:adjustRightInd/>
        <w:spacing w:after="0" w:line="500" w:lineRule="exact"/>
        <w:ind w:firstLine="640" w:firstLineChars="200"/>
        <w:textAlignment w:val="auto"/>
        <w:rPr>
          <w:rFonts w:ascii="Times New Roman" w:hAnsi="Times New Roman"/>
          <w:kern w:val="2"/>
          <w:szCs w:val="32"/>
          <w:u w:val="single"/>
        </w:rPr>
      </w:pPr>
      <w:r>
        <w:rPr>
          <w:rFonts w:ascii="Times New Roman" w:hAnsi="Times New Roman"/>
          <w:kern w:val="2"/>
          <w:szCs w:val="32"/>
          <w:u w:val="single"/>
        </w:rPr>
        <w:t>（</w:t>
      </w:r>
      <w:r>
        <w:rPr>
          <w:rFonts w:hint="eastAsia" w:ascii="Times New Roman" w:hAnsi="Times New Roman"/>
          <w:kern w:val="2"/>
          <w:szCs w:val="32"/>
          <w:u w:val="single"/>
        </w:rPr>
        <w:t>6</w:t>
      </w:r>
      <w:r>
        <w:rPr>
          <w:rFonts w:ascii="Times New Roman" w:hAnsi="Times New Roman"/>
          <w:kern w:val="2"/>
          <w:szCs w:val="32"/>
          <w:u w:val="single"/>
        </w:rPr>
        <w:t>）误报警率：应小于等</w:t>
      </w:r>
      <w:r>
        <w:rPr>
          <w:rFonts w:hint="eastAsia" w:ascii="Times New Roman" w:hAnsi="Times New Roman"/>
          <w:kern w:val="2"/>
          <w:szCs w:val="32"/>
          <w:u w:val="single"/>
        </w:rPr>
        <w:t>于</w:t>
      </w:r>
      <w:r>
        <w:rPr>
          <w:rFonts w:ascii="Times New Roman" w:hAnsi="Times New Roman"/>
          <w:kern w:val="2"/>
          <w:szCs w:val="32"/>
          <w:u w:val="single"/>
        </w:rPr>
        <w:t>1%</w:t>
      </w:r>
      <w:r>
        <w:rPr>
          <w:rFonts w:hint="eastAsia" w:ascii="Times New Roman" w:hAnsi="Times New Roman"/>
          <w:kern w:val="2"/>
          <w:szCs w:val="32"/>
          <w:u w:val="single"/>
        </w:rPr>
        <w:t>。</w:t>
      </w:r>
    </w:p>
    <w:p w14:paraId="3441C940">
      <w:pPr>
        <w:adjustRightInd/>
        <w:spacing w:after="0" w:line="500" w:lineRule="exact"/>
        <w:ind w:firstLine="640" w:firstLineChars="200"/>
        <w:textAlignment w:val="auto"/>
        <w:rPr>
          <w:rFonts w:ascii="Times New Roman" w:hAnsi="Times New Roman"/>
          <w:kern w:val="2"/>
          <w:szCs w:val="32"/>
          <w:u w:val="single"/>
        </w:rPr>
      </w:pPr>
      <w:r>
        <w:rPr>
          <w:rFonts w:ascii="Times New Roman" w:hAnsi="Times New Roman"/>
          <w:kern w:val="2"/>
          <w:szCs w:val="32"/>
          <w:u w:val="single"/>
        </w:rPr>
        <w:t>（</w:t>
      </w:r>
      <w:r>
        <w:rPr>
          <w:rFonts w:hint="eastAsia" w:ascii="Times New Roman" w:hAnsi="Times New Roman"/>
          <w:kern w:val="2"/>
          <w:szCs w:val="32"/>
          <w:u w:val="single"/>
        </w:rPr>
        <w:t>7</w:t>
      </w:r>
      <w:r>
        <w:rPr>
          <w:rFonts w:ascii="Times New Roman" w:hAnsi="Times New Roman"/>
          <w:kern w:val="2"/>
          <w:szCs w:val="32"/>
          <w:u w:val="single"/>
        </w:rPr>
        <w:t>）报警恢复时间应</w:t>
      </w:r>
      <w:r>
        <w:rPr>
          <w:rFonts w:hint="eastAsia" w:ascii="Times New Roman" w:hAnsi="Times New Roman"/>
          <w:kern w:val="2"/>
          <w:szCs w:val="32"/>
          <w:u w:val="single"/>
        </w:rPr>
        <w:t>小于等于</w:t>
      </w:r>
      <w:r>
        <w:rPr>
          <w:rFonts w:ascii="Times New Roman" w:hAnsi="Times New Roman"/>
          <w:kern w:val="2"/>
          <w:szCs w:val="32"/>
          <w:u w:val="single"/>
        </w:rPr>
        <w:t>25s</w:t>
      </w:r>
      <w:r>
        <w:rPr>
          <w:rFonts w:hint="eastAsia" w:ascii="Times New Roman" w:hAnsi="Times New Roman"/>
          <w:kern w:val="2"/>
          <w:szCs w:val="32"/>
          <w:u w:val="single"/>
        </w:rPr>
        <w:t>。</w:t>
      </w:r>
    </w:p>
    <w:p w14:paraId="6B644D35">
      <w:pPr>
        <w:adjustRightInd/>
        <w:spacing w:after="0" w:line="500" w:lineRule="exact"/>
        <w:ind w:firstLine="640" w:firstLineChars="200"/>
        <w:textAlignment w:val="auto"/>
        <w:rPr>
          <w:rFonts w:ascii="Times New Roman" w:hAnsi="Times New Roman"/>
          <w:kern w:val="2"/>
          <w:szCs w:val="32"/>
          <w:u w:val="single"/>
        </w:rPr>
      </w:pPr>
      <w:r>
        <w:rPr>
          <w:rFonts w:ascii="Times New Roman" w:hAnsi="Times New Roman"/>
          <w:kern w:val="2"/>
          <w:szCs w:val="32"/>
          <w:u w:val="single"/>
        </w:rPr>
        <w:t>（</w:t>
      </w:r>
      <w:r>
        <w:rPr>
          <w:rFonts w:hint="eastAsia" w:ascii="Times New Roman" w:hAnsi="Times New Roman"/>
          <w:kern w:val="2"/>
          <w:szCs w:val="32"/>
          <w:u w:val="single"/>
        </w:rPr>
        <w:t>8</w:t>
      </w:r>
      <w:r>
        <w:rPr>
          <w:rFonts w:ascii="Times New Roman" w:hAnsi="Times New Roman"/>
          <w:kern w:val="2"/>
          <w:szCs w:val="32"/>
          <w:u w:val="single"/>
        </w:rPr>
        <w:t>）环境适用性</w:t>
      </w:r>
      <w:r>
        <w:rPr>
          <w:rFonts w:hint="eastAsia" w:ascii="Times New Roman" w:hAnsi="Times New Roman"/>
          <w:kern w:val="2"/>
          <w:szCs w:val="32"/>
          <w:u w:val="single"/>
        </w:rPr>
        <w:t>：</w:t>
      </w:r>
      <w:r>
        <w:rPr>
          <w:rFonts w:ascii="Times New Roman" w:hAnsi="Times New Roman"/>
          <w:kern w:val="2"/>
          <w:szCs w:val="32"/>
          <w:u w:val="single"/>
        </w:rPr>
        <w:t>-20℃~</w:t>
      </w:r>
      <w:r>
        <w:rPr>
          <w:rFonts w:hint="eastAsia" w:ascii="Times New Roman" w:hAnsi="Times New Roman"/>
          <w:kern w:val="2"/>
          <w:szCs w:val="32"/>
          <w:u w:val="single"/>
        </w:rPr>
        <w:t>6</w:t>
      </w:r>
      <w:r>
        <w:rPr>
          <w:rFonts w:ascii="Times New Roman" w:hAnsi="Times New Roman"/>
          <w:kern w:val="2"/>
          <w:szCs w:val="32"/>
          <w:u w:val="single"/>
        </w:rPr>
        <w:t>0℃，湿度93%环境下能正常使用</w:t>
      </w:r>
      <w:r>
        <w:rPr>
          <w:rFonts w:hint="eastAsia" w:ascii="Times New Roman" w:hAnsi="Times New Roman"/>
          <w:kern w:val="2"/>
          <w:szCs w:val="32"/>
          <w:u w:val="single"/>
        </w:rPr>
        <w:t>。</w:t>
      </w:r>
    </w:p>
    <w:p w14:paraId="4578C990">
      <w:pPr>
        <w:adjustRightInd/>
        <w:spacing w:after="0" w:line="500" w:lineRule="exact"/>
        <w:ind w:firstLine="640" w:firstLineChars="200"/>
        <w:textAlignment w:val="auto"/>
        <w:rPr>
          <w:rFonts w:ascii="Times New Roman" w:hAnsi="Times New Roman"/>
          <w:kern w:val="2"/>
          <w:szCs w:val="32"/>
          <w:u w:val="single"/>
        </w:rPr>
      </w:pPr>
      <w:r>
        <w:rPr>
          <w:rFonts w:ascii="Times New Roman" w:hAnsi="Times New Roman"/>
          <w:kern w:val="2"/>
          <w:szCs w:val="32"/>
          <w:u w:val="single"/>
        </w:rPr>
        <w:t>（</w:t>
      </w:r>
      <w:r>
        <w:rPr>
          <w:rFonts w:hint="eastAsia" w:ascii="Times New Roman" w:hAnsi="Times New Roman"/>
          <w:kern w:val="2"/>
          <w:szCs w:val="32"/>
          <w:u w:val="single"/>
        </w:rPr>
        <w:t>9</w:t>
      </w:r>
      <w:r>
        <w:rPr>
          <w:rFonts w:ascii="Times New Roman" w:hAnsi="Times New Roman"/>
          <w:kern w:val="2"/>
          <w:szCs w:val="32"/>
          <w:u w:val="single"/>
        </w:rPr>
        <w:t>）重量</w:t>
      </w:r>
      <w:r>
        <w:rPr>
          <w:rFonts w:hint="eastAsia" w:ascii="Times New Roman" w:hAnsi="Times New Roman"/>
          <w:kern w:val="2"/>
          <w:szCs w:val="32"/>
          <w:u w:val="single"/>
        </w:rPr>
        <w:t>：小于等于</w:t>
      </w:r>
      <w:r>
        <w:rPr>
          <w:rFonts w:ascii="Times New Roman" w:hAnsi="Times New Roman"/>
          <w:kern w:val="2"/>
          <w:szCs w:val="32"/>
          <w:u w:val="single"/>
        </w:rPr>
        <w:t>1.5kg</w:t>
      </w:r>
      <w:r>
        <w:rPr>
          <w:rFonts w:hint="eastAsia" w:ascii="Times New Roman" w:hAnsi="Times New Roman"/>
          <w:kern w:val="2"/>
          <w:szCs w:val="32"/>
          <w:u w:val="single"/>
        </w:rPr>
        <w:t>（含电池）。</w:t>
      </w:r>
    </w:p>
    <w:p w14:paraId="46B2997F">
      <w:pPr>
        <w:adjustRightInd/>
        <w:spacing w:after="0" w:line="500" w:lineRule="exact"/>
        <w:ind w:firstLine="640" w:firstLineChars="200"/>
        <w:textAlignment w:val="auto"/>
        <w:rPr>
          <w:rFonts w:ascii="Times New Roman" w:hAnsi="Times New Roman"/>
          <w:kern w:val="2"/>
          <w:szCs w:val="32"/>
          <w:u w:val="single"/>
        </w:rPr>
      </w:pPr>
      <w:r>
        <w:rPr>
          <w:rFonts w:ascii="Times New Roman" w:hAnsi="Times New Roman"/>
          <w:kern w:val="2"/>
          <w:szCs w:val="32"/>
          <w:u w:val="single"/>
        </w:rPr>
        <w:t>（</w:t>
      </w:r>
      <w:r>
        <w:rPr>
          <w:rFonts w:hint="eastAsia" w:ascii="Times New Roman" w:hAnsi="Times New Roman"/>
          <w:kern w:val="2"/>
          <w:szCs w:val="32"/>
          <w:u w:val="single"/>
        </w:rPr>
        <w:t>10</w:t>
      </w:r>
      <w:r>
        <w:rPr>
          <w:rFonts w:ascii="Times New Roman" w:hAnsi="Times New Roman"/>
          <w:kern w:val="2"/>
          <w:szCs w:val="32"/>
          <w:u w:val="single"/>
        </w:rPr>
        <w:t>）续航</w:t>
      </w:r>
      <w:r>
        <w:rPr>
          <w:rFonts w:hint="eastAsia" w:ascii="Times New Roman" w:hAnsi="Times New Roman"/>
          <w:kern w:val="2"/>
          <w:szCs w:val="32"/>
          <w:u w:val="single"/>
        </w:rPr>
        <w:t>工作</w:t>
      </w:r>
      <w:r>
        <w:rPr>
          <w:rFonts w:ascii="Times New Roman" w:hAnsi="Times New Roman"/>
          <w:kern w:val="2"/>
          <w:szCs w:val="32"/>
          <w:u w:val="single"/>
        </w:rPr>
        <w:t>时间</w:t>
      </w:r>
      <w:r>
        <w:rPr>
          <w:rFonts w:hint="eastAsia" w:ascii="Times New Roman" w:hAnsi="Times New Roman"/>
          <w:kern w:val="2"/>
          <w:szCs w:val="32"/>
          <w:u w:val="single"/>
        </w:rPr>
        <w:t>：大于等于</w:t>
      </w:r>
      <w:r>
        <w:rPr>
          <w:rFonts w:ascii="Times New Roman" w:hAnsi="Times New Roman"/>
          <w:kern w:val="2"/>
          <w:szCs w:val="32"/>
          <w:u w:val="single"/>
        </w:rPr>
        <w:t>10小时。</w:t>
      </w:r>
    </w:p>
    <w:p w14:paraId="710637AB">
      <w:pPr>
        <w:adjustRightInd/>
        <w:spacing w:after="0" w:line="500" w:lineRule="exact"/>
        <w:ind w:firstLine="640" w:firstLineChars="200"/>
        <w:textAlignment w:val="auto"/>
        <w:rPr>
          <w:rFonts w:ascii="Times New Roman" w:hAnsi="Times New Roman"/>
          <w:kern w:val="2"/>
          <w:szCs w:val="32"/>
          <w:u w:val="single"/>
        </w:rPr>
      </w:pPr>
      <w:r>
        <w:rPr>
          <w:rFonts w:hint="eastAsia" w:ascii="Times New Roman" w:hAnsi="Times New Roman"/>
          <w:kern w:val="2"/>
          <w:szCs w:val="32"/>
          <w:u w:val="single"/>
        </w:rPr>
        <w:t>（11）存储数据量：大于等于100万条。</w:t>
      </w:r>
    </w:p>
    <w:p w14:paraId="4DE5D19C">
      <w:pPr>
        <w:adjustRightInd/>
        <w:spacing w:after="0" w:line="500" w:lineRule="exact"/>
        <w:ind w:firstLine="640" w:firstLineChars="200"/>
        <w:textAlignment w:val="auto"/>
        <w:rPr>
          <w:rFonts w:ascii="Times New Roman" w:hAnsi="Times New Roman"/>
          <w:kern w:val="2"/>
          <w:szCs w:val="32"/>
          <w:u w:val="single"/>
        </w:rPr>
      </w:pPr>
      <w:r>
        <w:rPr>
          <w:rFonts w:hint="eastAsia" w:ascii="Times New Roman" w:hAnsi="Times New Roman"/>
          <w:kern w:val="2"/>
          <w:szCs w:val="32"/>
          <w:u w:val="single"/>
        </w:rPr>
        <w:t>（12）充电时间：小于等于3小时。</w:t>
      </w:r>
    </w:p>
    <w:p w14:paraId="7E89FA46">
      <w:pPr>
        <w:adjustRightInd/>
        <w:spacing w:after="0" w:line="500" w:lineRule="exact"/>
        <w:ind w:firstLine="640" w:firstLineChars="200"/>
        <w:textAlignment w:val="auto"/>
        <w:rPr>
          <w:rFonts w:ascii="Times New Roman" w:hAnsi="Times New Roman"/>
          <w:kern w:val="2"/>
          <w:szCs w:val="32"/>
          <w:u w:val="single"/>
        </w:rPr>
      </w:pPr>
      <w:r>
        <w:rPr>
          <w:rFonts w:hint="eastAsia" w:ascii="Times New Roman" w:hAnsi="Times New Roman"/>
          <w:kern w:val="2"/>
          <w:szCs w:val="32"/>
          <w:u w:val="single"/>
        </w:rPr>
        <w:t>（13）数据接口：支持USB接口，能在后台读取和导出历史数据。</w:t>
      </w:r>
      <w:r>
        <w:rPr>
          <w:rFonts w:ascii="Times New Roman" w:hAnsi="Times New Roman"/>
          <w:kern w:val="2"/>
          <w:szCs w:val="32"/>
          <w:u w:val="single"/>
        </w:rPr>
        <w:t xml:space="preserve"> </w:t>
      </w:r>
    </w:p>
    <w:p w14:paraId="0DBE3283">
      <w:pPr>
        <w:adjustRightInd/>
        <w:spacing w:after="0" w:line="500" w:lineRule="exact"/>
        <w:ind w:firstLine="640" w:firstLineChars="200"/>
        <w:textAlignment w:val="auto"/>
        <w:rPr>
          <w:rFonts w:ascii="Times New Roman" w:hAnsi="Times New Roman"/>
          <w:b/>
          <w:bCs/>
          <w:kern w:val="2"/>
          <w:szCs w:val="32"/>
          <w:u w:val="single"/>
        </w:rPr>
      </w:pPr>
      <w:r>
        <w:rPr>
          <w:rFonts w:hint="eastAsia" w:ascii="Times New Roman" w:hAnsi="Times New Roman"/>
          <w:kern w:val="2"/>
          <w:szCs w:val="32"/>
          <w:u w:val="single"/>
        </w:rPr>
        <w:t>（14）</w:t>
      </w:r>
      <w:r>
        <w:rPr>
          <w:rFonts w:ascii="Times New Roman" w:hAnsi="Times New Roman"/>
          <w:kern w:val="2"/>
          <w:szCs w:val="32"/>
          <w:u w:val="single"/>
        </w:rPr>
        <w:t xml:space="preserve">材料：对于采用塑料材料作为外壳的产品，其塑料外壳经火焰燃烧5次，每次5s，不应起火。 </w:t>
      </w:r>
    </w:p>
    <w:p w14:paraId="0C53B4D6">
      <w:pPr>
        <w:adjustRightInd/>
        <w:spacing w:after="0" w:line="500" w:lineRule="exact"/>
        <w:ind w:firstLine="640" w:firstLineChars="200"/>
        <w:textAlignment w:val="auto"/>
        <w:rPr>
          <w:rFonts w:ascii="Times New Roman" w:hAnsi="Times New Roman"/>
          <w:kern w:val="2"/>
          <w:szCs w:val="32"/>
          <w:u w:val="single"/>
        </w:rPr>
      </w:pPr>
      <w:r>
        <w:rPr>
          <w:rFonts w:hint="eastAsia" w:ascii="Times New Roman" w:hAnsi="Times New Roman"/>
          <w:kern w:val="2"/>
          <w:szCs w:val="32"/>
          <w:u w:val="single"/>
        </w:rPr>
        <w:t>（15）</w:t>
      </w:r>
      <w:r>
        <w:rPr>
          <w:rFonts w:ascii="Times New Roman" w:hAnsi="Times New Roman"/>
          <w:kern w:val="2"/>
          <w:szCs w:val="32"/>
          <w:u w:val="single"/>
        </w:rPr>
        <w:t>结构：</w:t>
      </w:r>
      <w:r>
        <w:rPr>
          <w:rFonts w:hint="eastAsia" w:ascii="Times New Roman" w:hAnsi="Times New Roman"/>
          <w:kern w:val="2"/>
          <w:szCs w:val="32"/>
          <w:u w:val="single"/>
        </w:rPr>
        <w:t>一是设备</w:t>
      </w:r>
      <w:r>
        <w:rPr>
          <w:rFonts w:ascii="Times New Roman" w:hAnsi="Times New Roman"/>
          <w:kern w:val="2"/>
          <w:szCs w:val="32"/>
          <w:u w:val="single"/>
        </w:rPr>
        <w:t>框架有足够的强度和刚度，能够承受正常安装、使用、搬运和运输中的振动和冲击，而不致引起仪器机械和性能受损</w:t>
      </w:r>
      <w:r>
        <w:rPr>
          <w:rFonts w:hint="eastAsia" w:ascii="Times New Roman" w:hAnsi="Times New Roman"/>
          <w:kern w:val="2"/>
          <w:szCs w:val="32"/>
          <w:u w:val="single"/>
        </w:rPr>
        <w:t>。二是</w:t>
      </w:r>
      <w:r>
        <w:rPr>
          <w:rFonts w:ascii="Times New Roman" w:hAnsi="Times New Roman"/>
          <w:kern w:val="2"/>
          <w:szCs w:val="32"/>
          <w:u w:val="single"/>
        </w:rPr>
        <w:t>部件和所有零件有足够强度和刚度，所有按钮、调节和控制机构安装正确、操作灵活</w:t>
      </w:r>
      <w:r>
        <w:rPr>
          <w:rFonts w:hint="eastAsia" w:ascii="Times New Roman" w:hAnsi="Times New Roman"/>
          <w:kern w:val="2"/>
          <w:szCs w:val="32"/>
          <w:u w:val="single"/>
        </w:rPr>
        <w:t>。三是</w:t>
      </w:r>
      <w:r>
        <w:rPr>
          <w:rFonts w:ascii="Times New Roman" w:hAnsi="Times New Roman"/>
          <w:kern w:val="2"/>
          <w:szCs w:val="32"/>
          <w:u w:val="single"/>
        </w:rPr>
        <w:t xml:space="preserve">耗材组件的结构便于拆装。                           </w:t>
      </w:r>
    </w:p>
    <w:p w14:paraId="54C3114D">
      <w:r>
        <w:rPr>
          <w:rFonts w:hint="eastAsia" w:ascii="Times New Roman" w:hAnsi="Times New Roman"/>
          <w:kern w:val="2"/>
          <w:szCs w:val="32"/>
          <w:u w:val="single"/>
        </w:rPr>
        <w:t>（16）</w:t>
      </w:r>
      <w:r>
        <w:rPr>
          <w:rFonts w:ascii="Times New Roman" w:hAnsi="Times New Roman"/>
          <w:kern w:val="2"/>
          <w:szCs w:val="32"/>
          <w:u w:val="single"/>
        </w:rPr>
        <w:t>外观：</w:t>
      </w:r>
      <w:r>
        <w:rPr>
          <w:rFonts w:hint="eastAsia" w:ascii="Times New Roman" w:hAnsi="Times New Roman"/>
          <w:kern w:val="2"/>
          <w:szCs w:val="32"/>
          <w:u w:val="single"/>
        </w:rPr>
        <w:t>一是</w:t>
      </w:r>
      <w:r>
        <w:rPr>
          <w:rFonts w:ascii="Times New Roman" w:hAnsi="Times New Roman"/>
          <w:kern w:val="2"/>
          <w:szCs w:val="32"/>
          <w:u w:val="single"/>
        </w:rPr>
        <w:t>外观完好，表面平整光滑，色泽均匀，无裂纹、褪色及永久性污渍，无明显变形和划痕，金属件无锈蚀</w:t>
      </w:r>
      <w:r>
        <w:rPr>
          <w:rFonts w:hint="eastAsia" w:ascii="Times New Roman" w:hAnsi="Times New Roman"/>
          <w:kern w:val="2"/>
          <w:szCs w:val="32"/>
          <w:u w:val="single"/>
        </w:rPr>
        <w:t>，</w:t>
      </w:r>
      <w:r>
        <w:rPr>
          <w:rFonts w:ascii="Times New Roman" w:hAnsi="Times New Roman"/>
          <w:kern w:val="2"/>
          <w:szCs w:val="32"/>
          <w:u w:val="single"/>
        </w:rPr>
        <w:t>仪器表面的标记和字符清晰可辨</w:t>
      </w:r>
      <w:r>
        <w:rPr>
          <w:rFonts w:hint="eastAsia" w:ascii="Times New Roman" w:hAnsi="Times New Roman"/>
          <w:kern w:val="2"/>
          <w:szCs w:val="32"/>
          <w:u w:val="single"/>
        </w:rPr>
        <w:t>。二是</w:t>
      </w:r>
      <w:r>
        <w:rPr>
          <w:rFonts w:ascii="Times New Roman" w:hAnsi="Times New Roman"/>
          <w:kern w:val="2"/>
          <w:szCs w:val="32"/>
          <w:u w:val="single"/>
        </w:rPr>
        <w:t>显示屏幕或显示面板上的字符、图形清晰无缺损；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6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after="160" w:line="560" w:lineRule="exact"/>
      <w:ind w:firstLine="680"/>
      <w:jc w:val="both"/>
      <w:textAlignment w:val="baseline"/>
    </w:pPr>
    <w:rPr>
      <w:rFonts w:ascii="Calibri" w:hAnsi="Calibri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2026-05-06T07:59:01Z</dcterms:created>
  <dc:creator>HG</dc:creator>
  <cp:lastModifiedBy>张けいこ</cp:lastModifiedBy>
  <dcterms:modified xsi:type="dcterms:W3CDTF">2026-05-06T07:59:10Z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KSOTemplateDocerSaveRecord">
    <vt:lpwstr>eyJoZGlkIjoiNDYxZjBlOTQyNzQ0ZGNjMDk4YTg5MWIzZDFmMDRjZmYiLCJ1c2VySWQiOiI0ODEyMTg5MTYifQ==</vt:lpwstr>
  </property>
  <property fmtid="{D5CDD505-2E9C-101B-9397-08002B2CF9AE}" pid="4" name="ICV">
    <vt:lpwstr>9389690426854C43BDEB8470EE74EBDE_12</vt:lpwstr>
  </property>
</Properties>
</file>