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40CAC">
      <w:pPr>
        <w:widowControl/>
        <w:jc w:val="center"/>
        <w:rPr>
          <w:rFonts w:hint="eastAsia" w:ascii="黑体" w:hAnsi="黑体" w:eastAsia="黑体" w:cs="Times New Roman"/>
          <w:color w:val="000000" w:themeColor="text1"/>
          <w:spacing w:val="40"/>
          <w:sz w:val="36"/>
          <w:szCs w:val="36"/>
          <w14:textFill>
            <w14:solidFill>
              <w14:schemeClr w14:val="tx1"/>
            </w14:solidFill>
          </w14:textFill>
        </w:rPr>
      </w:pPr>
      <w:r>
        <w:rPr>
          <w:rFonts w:hint="eastAsia" w:ascii="黑体" w:hAnsi="黑体" w:eastAsia="黑体" w:cs="Times New Roman"/>
          <w:color w:val="000000" w:themeColor="text1"/>
          <w:spacing w:val="40"/>
          <w:sz w:val="36"/>
          <w:szCs w:val="36"/>
          <w14:textFill>
            <w14:solidFill>
              <w14:schemeClr w14:val="tx1"/>
            </w14:solidFill>
          </w14:textFill>
        </w:rPr>
        <w:t>深圳市第七高级中学</w:t>
      </w:r>
    </w:p>
    <w:p w14:paraId="77505DC2">
      <w:pPr>
        <w:widowControl/>
        <w:jc w:val="center"/>
        <w:rPr>
          <w:rFonts w:hint="eastAsia" w:ascii="黑体" w:hAnsi="黑体" w:eastAsia="黑体" w:cs="Times New Roman"/>
          <w:color w:val="000000" w:themeColor="text1"/>
          <w:spacing w:val="40"/>
          <w:sz w:val="36"/>
          <w:szCs w:val="36"/>
          <w14:textFill>
            <w14:solidFill>
              <w14:schemeClr w14:val="tx1"/>
            </w14:solidFill>
          </w14:textFill>
        </w:rPr>
      </w:pPr>
      <w:r>
        <w:rPr>
          <w:rFonts w:hint="eastAsia" w:ascii="黑体" w:hAnsi="黑体" w:eastAsia="黑体" w:cs="Times New Roman"/>
          <w:color w:val="000000" w:themeColor="text1"/>
          <w:spacing w:val="40"/>
          <w:sz w:val="36"/>
          <w:szCs w:val="36"/>
          <w14:textFill>
            <w14:solidFill>
              <w14:schemeClr w14:val="tx1"/>
            </w14:solidFill>
          </w14:textFill>
        </w:rPr>
        <w:t>采购</w:t>
      </w:r>
      <w:r>
        <w:rPr>
          <w:rFonts w:hint="eastAsia" w:ascii="黑体" w:hAnsi="黑体" w:eastAsia="黑体" w:cs="Times New Roman"/>
          <w:color w:val="000000" w:themeColor="text1"/>
          <w:spacing w:val="40"/>
          <w:sz w:val="36"/>
          <w:szCs w:val="36"/>
          <w14:textFill>
            <w14:solidFill>
              <w14:schemeClr w14:val="tx1"/>
            </w14:solidFill>
          </w14:textFill>
        </w:rPr>
        <w:t>文印室设备租赁服务</w:t>
      </w:r>
      <w:r>
        <w:rPr>
          <w:rFonts w:hint="eastAsia" w:ascii="黑体" w:hAnsi="黑体" w:eastAsia="黑体" w:cs="Times New Roman"/>
          <w:color w:val="000000" w:themeColor="text1"/>
          <w:spacing w:val="40"/>
          <w:sz w:val="36"/>
          <w:szCs w:val="36"/>
          <w14:textFill>
            <w14:solidFill>
              <w14:schemeClr w14:val="tx1"/>
            </w14:solidFill>
          </w14:textFill>
        </w:rPr>
        <w:t>需求书</w:t>
      </w:r>
    </w:p>
    <w:p w14:paraId="4DDF9A01">
      <w:pPr>
        <w:pStyle w:val="2"/>
        <w:rPr>
          <w:color w:val="000000" w:themeColor="text1"/>
          <w14:textFill>
            <w14:solidFill>
              <w14:schemeClr w14:val="tx1"/>
            </w14:solidFill>
          </w14:textFill>
        </w:rPr>
      </w:pPr>
    </w:p>
    <w:p w14:paraId="37DB82EE">
      <w:pPr>
        <w:spacing w:line="500" w:lineRule="exact"/>
        <w:jc w:val="left"/>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一、供应商资格条件：</w:t>
      </w:r>
    </w:p>
    <w:p w14:paraId="6CC512DC">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1.具有独立法人资格或是具有独立承担民事责任能力的其它组织。</w:t>
      </w:r>
    </w:p>
    <w:p w14:paraId="50D91B21">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2.参与本项目投标前三年内，在经营活动中没有重大违法记录。</w:t>
      </w:r>
    </w:p>
    <w:p w14:paraId="5B01F875">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3.未被列入失信被执行人、重大税收违法案件当事人名单、政府采购严重违法失信行为记录名单。</w:t>
      </w:r>
    </w:p>
    <w:p w14:paraId="1327AF6D">
      <w:pPr>
        <w:spacing w:line="500" w:lineRule="exact"/>
        <w:jc w:val="left"/>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二、项目概况：</w:t>
      </w:r>
    </w:p>
    <w:p w14:paraId="036DC008">
      <w:pPr>
        <w:spacing w:line="500" w:lineRule="exact"/>
        <w:ind w:firstLine="600" w:firstLineChars="200"/>
        <w:rPr>
          <w:rFonts w:hint="eastAsia" w:ascii="仿宋" w:hAnsi="仿宋" w:eastAsia="仿宋" w:cs="Times New Roman"/>
          <w:bCs/>
          <w:color w:val="000000" w:themeColor="text1"/>
          <w:sz w:val="30"/>
          <w:szCs w:val="30"/>
          <w:u w:val="single"/>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1.项目名称：</w:t>
      </w:r>
      <w:r>
        <w:rPr>
          <w:rFonts w:hint="eastAsia" w:ascii="仿宋" w:hAnsi="仿宋" w:eastAsia="仿宋" w:cs="Times New Roman"/>
          <w:bCs/>
          <w:color w:val="000000" w:themeColor="text1"/>
          <w:sz w:val="30"/>
          <w:szCs w:val="30"/>
          <w:u w:val="single"/>
          <w14:textFill>
            <w14:solidFill>
              <w14:schemeClr w14:val="tx1"/>
            </w14:solidFill>
          </w14:textFill>
        </w:rPr>
        <w:t xml:space="preserve"> 文印室设备租赁 </w:t>
      </w:r>
    </w:p>
    <w:p w14:paraId="48479711">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2.经费预算：人民币</w:t>
      </w:r>
      <w:r>
        <w:rPr>
          <w:rFonts w:hint="eastAsia" w:ascii="仿宋" w:hAnsi="仿宋" w:eastAsia="仿宋" w:cs="Times New Roman"/>
          <w:bCs/>
          <w:color w:val="000000" w:themeColor="text1"/>
          <w:sz w:val="30"/>
          <w:szCs w:val="30"/>
          <w:u w:val="single"/>
          <w14:textFill>
            <w14:solidFill>
              <w14:schemeClr w14:val="tx1"/>
            </w14:solidFill>
          </w14:textFill>
        </w:rPr>
        <w:t xml:space="preserve"> </w:t>
      </w:r>
      <w:r>
        <w:rPr>
          <w:rFonts w:hint="eastAsia" w:ascii="仿宋" w:hAnsi="仿宋" w:eastAsia="仿宋" w:cs="Times New Roman"/>
          <w:bCs/>
          <w:color w:val="000000" w:themeColor="text1"/>
          <w:sz w:val="30"/>
          <w:szCs w:val="30"/>
          <w:u w:val="single"/>
          <w:lang w:val="en-US" w:eastAsia="zh-CN"/>
          <w14:textFill>
            <w14:solidFill>
              <w14:schemeClr w14:val="tx1"/>
            </w14:solidFill>
          </w14:textFill>
        </w:rPr>
        <w:t xml:space="preserve"> 180000 </w:t>
      </w:r>
      <w:r>
        <w:rPr>
          <w:rFonts w:hint="eastAsia" w:ascii="仿宋" w:hAnsi="仿宋" w:eastAsia="仿宋" w:cs="Times New Roman"/>
          <w:bCs/>
          <w:color w:val="000000" w:themeColor="text1"/>
          <w:sz w:val="30"/>
          <w:szCs w:val="30"/>
          <w:u w:val="single"/>
          <w14:textFill>
            <w14:solidFill>
              <w14:schemeClr w14:val="tx1"/>
            </w14:solidFill>
          </w14:textFill>
        </w:rPr>
        <w:t>元</w:t>
      </w:r>
      <w:r>
        <w:rPr>
          <w:rFonts w:hint="eastAsia" w:ascii="仿宋" w:hAnsi="仿宋" w:eastAsia="仿宋" w:cs="Times New Roman"/>
          <w:bCs/>
          <w:color w:val="000000" w:themeColor="text1"/>
          <w:sz w:val="30"/>
          <w:szCs w:val="30"/>
          <w14:textFill>
            <w14:solidFill>
              <w14:schemeClr w14:val="tx1"/>
            </w14:solidFill>
          </w14:textFill>
        </w:rPr>
        <w:t>整（大写：</w:t>
      </w:r>
      <w:r>
        <w:rPr>
          <w:rFonts w:hint="eastAsia" w:ascii="仿宋" w:hAnsi="仿宋" w:eastAsia="仿宋" w:cs="Times New Roman"/>
          <w:bCs/>
          <w:color w:val="000000" w:themeColor="text1"/>
          <w:sz w:val="30"/>
          <w:szCs w:val="30"/>
          <w:lang w:val="en-US" w:eastAsia="zh-CN"/>
          <w14:textFill>
            <w14:solidFill>
              <w14:schemeClr w14:val="tx1"/>
            </w14:solidFill>
          </w14:textFill>
        </w:rPr>
        <w:t>人民币壹拾捌万元整）</w:t>
      </w:r>
    </w:p>
    <w:p w14:paraId="50573858">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3.预算及报价费用包括：</w:t>
      </w:r>
      <w:r>
        <w:rPr>
          <w:rFonts w:hint="eastAsia" w:ascii="仿宋" w:hAnsi="仿宋" w:eastAsia="仿宋" w:cs="Times New Roman"/>
          <w:bCs/>
          <w:color w:val="000000" w:themeColor="text1"/>
          <w:sz w:val="30"/>
          <w:szCs w:val="30"/>
          <w14:textFill>
            <w14:solidFill>
              <w14:schemeClr w14:val="tx1"/>
            </w14:solidFill>
          </w14:textFill>
        </w:rPr>
        <w:t>高速全彩色试卷输出管理系统服务租赁费用、税费、维修维护等其他所有费用。</w:t>
      </w:r>
    </w:p>
    <w:p w14:paraId="1C529001">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4.项目简介与总体目的：</w:t>
      </w:r>
    </w:p>
    <w:p w14:paraId="3557036D">
      <w:pPr>
        <w:pStyle w:val="2"/>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为提升学校教育教学质量，结合学校实际工作，深圳市第七高级中学对高速全彩色试卷输出管理系统服务租赁项目进行公开竞价。输出管理系统服务包含：高效印刷设备一套+试卷输出集中印务系统+维修维护及驻点服务。</w:t>
      </w:r>
    </w:p>
    <w:p w14:paraId="7EC64A6E">
      <w:pPr>
        <w:spacing w:line="500" w:lineRule="exact"/>
        <w:jc w:val="left"/>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三、采购内容及要求</w:t>
      </w:r>
    </w:p>
    <w:p w14:paraId="5C5F0994">
      <w:pPr>
        <w:spacing w:line="500" w:lineRule="exact"/>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1.设备租赁：</w:t>
      </w:r>
      <w:r>
        <w:rPr>
          <w:rFonts w:hint="eastAsia" w:ascii="仿宋" w:hAnsi="仿宋" w:eastAsia="仿宋" w:cs="仿宋"/>
          <w:color w:val="000000" w:themeColor="text1"/>
          <w:sz w:val="30"/>
          <w:szCs w:val="30"/>
          <w14:textFill>
            <w14:solidFill>
              <w14:schemeClr w14:val="tx1"/>
            </w14:solidFill>
          </w14:textFill>
        </w:rPr>
        <w:t>提供一套满足学校高效印刷的原厂全新设备。核心功能：包含全彩色高清输出、具备自动装订成册功能、配备自动修边功能。</w:t>
      </w:r>
    </w:p>
    <w:p w14:paraId="742BE9A2">
      <w:pPr>
        <w:spacing w:line="500" w:lineRule="exact"/>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2.</w:t>
      </w:r>
      <w:r>
        <w:rPr>
          <w:rFonts w:hint="eastAsia" w:ascii="仿宋" w:hAnsi="仿宋" w:eastAsia="仿宋" w:cs="仿宋"/>
          <w:b/>
          <w:bCs/>
          <w:color w:val="000000" w:themeColor="text1"/>
          <w:kern w:val="0"/>
          <w:sz w:val="30"/>
          <w:szCs w:val="30"/>
          <w14:textFill>
            <w14:solidFill>
              <w14:schemeClr w14:val="tx1"/>
            </w14:solidFill>
          </w14:textFill>
        </w:rPr>
        <w:t>集中印务系统：</w:t>
      </w:r>
      <w:r>
        <w:rPr>
          <w:rFonts w:hint="eastAsia" w:ascii="仿宋" w:hAnsi="仿宋" w:eastAsia="仿宋" w:cs="仿宋"/>
          <w:color w:val="000000" w:themeColor="text1"/>
          <w:kern w:val="0"/>
          <w:sz w:val="30"/>
          <w:szCs w:val="30"/>
          <w14:textFill>
            <w14:solidFill>
              <w14:schemeClr w14:val="tx1"/>
            </w14:solidFill>
          </w14:textFill>
        </w:rPr>
        <w:t>集页面描述解析技术、色彩管理技术、可变数据处理技术和打印控制技术于一体的具备共享能力强、操作便捷，自动化程度高的</w:t>
      </w:r>
      <w:r>
        <w:rPr>
          <w:rFonts w:hint="eastAsia" w:ascii="仿宋" w:hAnsi="仿宋" w:eastAsia="仿宋" w:cs="仿宋"/>
          <w:color w:val="000000" w:themeColor="text1"/>
          <w:sz w:val="30"/>
          <w:szCs w:val="30"/>
          <w14:textFill>
            <w14:solidFill>
              <w14:schemeClr w14:val="tx1"/>
            </w14:solidFill>
          </w14:textFill>
        </w:rPr>
        <w:t>试卷印刷数字化自动工作流程</w:t>
      </w:r>
      <w:r>
        <w:rPr>
          <w:rFonts w:hint="eastAsia" w:ascii="仿宋" w:hAnsi="仿宋" w:eastAsia="仿宋" w:cs="仿宋"/>
          <w:color w:val="000000" w:themeColor="text1"/>
          <w:kern w:val="0"/>
          <w:sz w:val="30"/>
          <w:szCs w:val="30"/>
          <w14:textFill>
            <w14:solidFill>
              <w14:schemeClr w14:val="tx1"/>
            </w14:solidFill>
          </w14:textFill>
        </w:rPr>
        <w:t>。</w:t>
      </w:r>
    </w:p>
    <w:p w14:paraId="6A4B868C">
      <w:pPr>
        <w:spacing w:line="500" w:lineRule="exact"/>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3.维修维护及驻点服务项：</w:t>
      </w:r>
      <w:r>
        <w:rPr>
          <w:rFonts w:hint="eastAsia" w:ascii="仿宋" w:hAnsi="仿宋" w:eastAsia="仿宋" w:cs="仿宋"/>
          <w:color w:val="000000" w:themeColor="text1"/>
          <w:sz w:val="30"/>
          <w:szCs w:val="30"/>
          <w14:textFill>
            <w14:solidFill>
              <w14:schemeClr w14:val="tx1"/>
            </w14:solidFill>
          </w14:textFill>
        </w:rPr>
        <w:t>费用包含</w:t>
      </w:r>
      <w:r>
        <w:rPr>
          <w:rFonts w:hint="eastAsia" w:ascii="仿宋" w:hAnsi="仿宋" w:eastAsia="仿宋" w:cs="仿宋"/>
          <w:color w:val="000000" w:themeColor="text1"/>
          <w:kern w:val="0"/>
          <w:sz w:val="30"/>
          <w:szCs w:val="30"/>
          <w14:textFill>
            <w14:solidFill>
              <w14:schemeClr w14:val="tx1"/>
            </w14:solidFill>
          </w14:textFill>
        </w:rPr>
        <w:t>完成合同服务期间所有的维修维护服务，确保印刷的正常运转</w:t>
      </w:r>
      <w:r>
        <w:rPr>
          <w:rFonts w:hint="eastAsia" w:ascii="仿宋" w:hAnsi="仿宋" w:eastAsia="仿宋" w:cs="仿宋"/>
          <w:color w:val="000000" w:themeColor="text1"/>
          <w:sz w:val="30"/>
          <w:szCs w:val="30"/>
          <w14:textFill>
            <w14:solidFill>
              <w14:schemeClr w14:val="tx1"/>
            </w14:solidFill>
          </w14:textFill>
        </w:rPr>
        <w:t>。预约驻点服务：每学期免费提供2次1人驻点服务，每次服务时长不少于3天。</w:t>
      </w:r>
    </w:p>
    <w:p w14:paraId="68B37C89">
      <w:pPr>
        <w:pStyle w:val="4"/>
        <w:spacing w:before="156" w:beforeLines="50" w:after="156" w:afterLines="50" w:line="500" w:lineRule="exact"/>
        <w:ind w:firstLine="602" w:firstLineChars="200"/>
        <w:jc w:val="both"/>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技术要求：</w:t>
      </w:r>
    </w:p>
    <w:tbl>
      <w:tblPr>
        <w:tblStyle w:val="16"/>
        <w:tblW w:w="932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543"/>
        <w:gridCol w:w="6986"/>
      </w:tblGrid>
      <w:tr w14:paraId="4459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5" w:type="dxa"/>
            <w:shd w:val="clear" w:color="auto" w:fill="auto"/>
            <w:vAlign w:val="center"/>
          </w:tcPr>
          <w:p w14:paraId="24D52367">
            <w:pPr>
              <w:widowControl/>
              <w:spacing w:line="500" w:lineRule="exact"/>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序号</w:t>
            </w:r>
          </w:p>
        </w:tc>
        <w:tc>
          <w:tcPr>
            <w:tcW w:w="1543" w:type="dxa"/>
            <w:shd w:val="clear" w:color="auto" w:fill="auto"/>
            <w:vAlign w:val="center"/>
          </w:tcPr>
          <w:p w14:paraId="1946D0D3">
            <w:pPr>
              <w:widowControl/>
              <w:spacing w:line="500" w:lineRule="exact"/>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服务内容</w:t>
            </w:r>
          </w:p>
        </w:tc>
        <w:tc>
          <w:tcPr>
            <w:tcW w:w="6986" w:type="dxa"/>
            <w:shd w:val="clear" w:color="auto" w:fill="auto"/>
            <w:vAlign w:val="center"/>
          </w:tcPr>
          <w:p w14:paraId="4416D9BA">
            <w:pPr>
              <w:widowControl/>
              <w:spacing w:line="500" w:lineRule="exact"/>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技术参数要求</w:t>
            </w:r>
          </w:p>
        </w:tc>
      </w:tr>
      <w:tr w14:paraId="5E1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restart"/>
            <w:shd w:val="clear" w:color="auto" w:fill="auto"/>
            <w:vAlign w:val="center"/>
          </w:tcPr>
          <w:p w14:paraId="7FA2A8EB">
            <w:pPr>
              <w:widowControl/>
              <w:spacing w:line="500" w:lineRule="exact"/>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1543" w:type="dxa"/>
            <w:vMerge w:val="restart"/>
            <w:shd w:val="clear" w:color="auto" w:fill="auto"/>
            <w:vAlign w:val="center"/>
          </w:tcPr>
          <w:p w14:paraId="6277DB6F">
            <w:pPr>
              <w:widowControl/>
              <w:spacing w:line="500" w:lineRule="exact"/>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设备租赁（高效印刷设备一套）</w:t>
            </w:r>
          </w:p>
        </w:tc>
        <w:tc>
          <w:tcPr>
            <w:tcW w:w="6986" w:type="dxa"/>
            <w:shd w:val="clear" w:color="auto" w:fill="auto"/>
            <w:vAlign w:val="center"/>
          </w:tcPr>
          <w:p w14:paraId="016C0D5F">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基本要求：设备必须为原厂全新设备，高速输出系统实现配套连接（即为整套设备），可实现打印、装订、小册子一次性输出，包括且不局限于所有组件，提供原厂货物合格证明，提供承诺函并加盖制造商公章。</w:t>
            </w:r>
          </w:p>
        </w:tc>
      </w:tr>
      <w:tr w14:paraId="3135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2DF066D2">
            <w:pPr>
              <w:widowControl/>
              <w:spacing w:line="500" w:lineRule="exact"/>
              <w:jc w:val="center"/>
              <w:textAlignment w:val="center"/>
              <w:rPr>
                <w:rFonts w:hint="eastAsia" w:ascii="仿宋" w:hAnsi="仿宋" w:eastAsia="仿宋" w:cs="仿宋"/>
                <w:color w:val="000000" w:themeColor="text1"/>
                <w:kern w:val="0"/>
                <w:sz w:val="24"/>
                <w:szCs w:val="24"/>
                <w14:textFill>
                  <w14:solidFill>
                    <w14:schemeClr w14:val="tx1"/>
                  </w14:solidFill>
                </w14:textFill>
              </w:rPr>
            </w:pPr>
          </w:p>
        </w:tc>
        <w:tc>
          <w:tcPr>
            <w:tcW w:w="1543" w:type="dxa"/>
            <w:vMerge w:val="continue"/>
            <w:shd w:val="clear" w:color="auto" w:fill="auto"/>
            <w:vAlign w:val="center"/>
          </w:tcPr>
          <w:p w14:paraId="7AA5527D">
            <w:pPr>
              <w:widowControl/>
              <w:spacing w:line="500" w:lineRule="exact"/>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6986" w:type="dxa"/>
            <w:shd w:val="clear" w:color="auto" w:fill="auto"/>
            <w:vAlign w:val="center"/>
          </w:tcPr>
          <w:p w14:paraId="335A7B33">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1.功能要求：彩色打印、复印、扫描、一体化装订（包括平订\角订\鞍式装订）、打孔及小册子三边裁切修边等。</w:t>
            </w:r>
          </w:p>
        </w:tc>
      </w:tr>
      <w:tr w14:paraId="7AEF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5" w:type="dxa"/>
            <w:vMerge w:val="continue"/>
            <w:shd w:val="clear" w:color="auto" w:fill="auto"/>
            <w:vAlign w:val="center"/>
          </w:tcPr>
          <w:p w14:paraId="562436D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614BA1E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3EED7B61">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2.设备打印方式：喷墨打印；五色或以上全彩色印刷。</w:t>
            </w:r>
          </w:p>
        </w:tc>
      </w:tr>
      <w:tr w14:paraId="664C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4C764F9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3EF3A4A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1E2BC85E">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3.单主机全彩色印刷速度≥160面/分钟（A4单、双面黑白、全彩色输出速度都达到）。</w:t>
            </w:r>
          </w:p>
        </w:tc>
      </w:tr>
      <w:tr w14:paraId="43CE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vMerge w:val="continue"/>
            <w:shd w:val="clear" w:color="auto" w:fill="auto"/>
            <w:vAlign w:val="center"/>
          </w:tcPr>
          <w:p w14:paraId="4374EBB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24975EB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793D3EF0">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4.分辨率及打印幅面：打印分辨率≥300dpi×600 dpi，打印面积最大≥300mm*480mm。</w:t>
            </w:r>
          </w:p>
        </w:tc>
      </w:tr>
      <w:tr w14:paraId="5DCF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041CFE4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5452772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22E6D1E2">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5.扫描配置：标配自动送稿器的平台式扫描仪；每分钟扫描速度≥100页/分钟；文件保存格式包含：PDF、TIFF、JPG等。</w:t>
            </w:r>
          </w:p>
        </w:tc>
      </w:tr>
      <w:tr w14:paraId="5BD4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5" w:type="dxa"/>
            <w:vMerge w:val="continue"/>
            <w:shd w:val="clear" w:color="auto" w:fill="auto"/>
            <w:vAlign w:val="center"/>
          </w:tcPr>
          <w:p w14:paraId="4FA9773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3A8D12A4">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1EC8B74E">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6.供纸要求：纸盒≥四个纸盒，纸盒容量≥2500张。纸张重量：适应</w:t>
            </w:r>
            <w:r>
              <w:rPr>
                <w:rFonts w:hint="eastAsia" w:ascii="仿宋" w:hAnsi="仿宋" w:eastAsia="仿宋" w:cs="仿宋"/>
                <w:color w:val="000000" w:themeColor="text1"/>
                <w:kern w:val="0"/>
                <w:sz w:val="24"/>
                <w:szCs w:val="24"/>
                <w:lang w:val="en-US" w:eastAsia="zh-CN"/>
                <w14:textFill>
                  <w14:solidFill>
                    <w14:schemeClr w14:val="tx1"/>
                  </w14:solidFill>
                </w14:textFill>
              </w:rPr>
              <w:t>60</w:t>
            </w:r>
            <w:r>
              <w:rPr>
                <w:rFonts w:hint="eastAsia" w:ascii="仿宋" w:hAnsi="仿宋" w:eastAsia="仿宋" w:cs="仿宋"/>
                <w:color w:val="000000" w:themeColor="text1"/>
                <w:kern w:val="0"/>
                <w:sz w:val="24"/>
                <w:szCs w:val="24"/>
                <w14:textFill>
                  <w14:solidFill>
                    <w14:schemeClr w14:val="tx1"/>
                  </w14:solidFill>
                </w14:textFill>
              </w:rPr>
              <w:t>克/平方米到200克/平方米的试卷用纸。（提供产品彩页或产品技术说明函作为证明材料）</w:t>
            </w:r>
          </w:p>
        </w:tc>
      </w:tr>
      <w:tr w14:paraId="4ECE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5" w:type="dxa"/>
            <w:vMerge w:val="continue"/>
            <w:shd w:val="clear" w:color="auto" w:fill="auto"/>
            <w:vAlign w:val="center"/>
          </w:tcPr>
          <w:p w14:paraId="28089F8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7D855D9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61D197FB">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7.纸张重量：适应</w:t>
            </w:r>
            <w:r>
              <w:rPr>
                <w:rFonts w:hint="eastAsia" w:ascii="仿宋" w:hAnsi="仿宋" w:eastAsia="仿宋" w:cs="仿宋"/>
                <w:color w:val="000000" w:themeColor="text1"/>
                <w:kern w:val="0"/>
                <w:sz w:val="24"/>
                <w:szCs w:val="24"/>
                <w:lang w:val="en-US" w:eastAsia="zh-CN"/>
                <w14:textFill>
                  <w14:solidFill>
                    <w14:schemeClr w14:val="tx1"/>
                  </w14:solidFill>
                </w14:textFill>
              </w:rPr>
              <w:t>60</w:t>
            </w:r>
            <w:r>
              <w:rPr>
                <w:rFonts w:hint="eastAsia" w:ascii="仿宋" w:hAnsi="仿宋" w:eastAsia="仿宋" w:cs="仿宋"/>
                <w:color w:val="000000" w:themeColor="text1"/>
                <w:kern w:val="0"/>
                <w:sz w:val="24"/>
                <w:szCs w:val="24"/>
                <w14:textFill>
                  <w14:solidFill>
                    <w14:schemeClr w14:val="tx1"/>
                  </w14:solidFill>
                </w14:textFill>
              </w:rPr>
              <w:t>克/平方米到200克/平方米的书纸。</w:t>
            </w:r>
          </w:p>
        </w:tc>
      </w:tr>
      <w:tr w14:paraId="323D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53363FA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69749F3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7D23E362">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8.连续工作要求：印刷过程中，设备可24小时工作，不停机，不降速；支持多纸盒供纸系统，可不停机加纸。</w:t>
            </w:r>
          </w:p>
        </w:tc>
      </w:tr>
      <w:tr w14:paraId="39B6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0622FD3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58E6321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7AB4928F">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9.鞍式装订要求：能与所投标设备高速输出系统实现配套连接（即为整套设备），可实现打印、复印、装订、小册子修边一次性输出，从打印到装订、小册子制作与修边全部自动完成。</w:t>
            </w:r>
          </w:p>
        </w:tc>
      </w:tr>
      <w:tr w14:paraId="21C8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5" w:type="dxa"/>
            <w:vMerge w:val="continue"/>
            <w:shd w:val="clear" w:color="auto" w:fill="auto"/>
            <w:vAlign w:val="center"/>
          </w:tcPr>
          <w:p w14:paraId="4EF0D2F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154B542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1B5772BC">
            <w:pPr>
              <w:widowControl/>
              <w:spacing w:line="500" w:lineRule="exac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10.装订容量：最大装订</w:t>
            </w:r>
            <w:r>
              <w:rPr>
                <w:rFonts w:hint="eastAsia" w:ascii="仿宋" w:hAnsi="仿宋" w:eastAsia="仿宋" w:cs="仿宋"/>
                <w:color w:val="000000" w:themeColor="text1"/>
                <w:kern w:val="0"/>
                <w:sz w:val="24"/>
                <w:szCs w:val="24"/>
                <w:lang w:val="en-US" w:eastAsia="zh-CN"/>
                <w14:textFill>
                  <w14:solidFill>
                    <w14:schemeClr w14:val="tx1"/>
                  </w14:solidFill>
                </w14:textFill>
              </w:rPr>
              <w:t>张</w:t>
            </w:r>
            <w:r>
              <w:rPr>
                <w:rFonts w:hint="eastAsia" w:ascii="仿宋" w:hAnsi="仿宋" w:eastAsia="仿宋" w:cs="仿宋"/>
                <w:color w:val="000000" w:themeColor="text1"/>
                <w:kern w:val="0"/>
                <w:sz w:val="24"/>
                <w:szCs w:val="24"/>
                <w14:textFill>
                  <w14:solidFill>
                    <w14:schemeClr w14:val="tx1"/>
                  </w14:solidFill>
                </w14:textFill>
              </w:rPr>
              <w:t>数</w:t>
            </w:r>
            <w:r>
              <w:rPr>
                <w:rFonts w:hint="default" w:ascii="Arial" w:hAnsi="Arial" w:eastAsia="仿宋" w:cs="Arial"/>
                <w:color w:val="000000" w:themeColor="text1"/>
                <w:kern w:val="0"/>
                <w:sz w:val="24"/>
                <w:szCs w:val="24"/>
                <w14:textFill>
                  <w14:solidFill>
                    <w14:schemeClr w14:val="tx1"/>
                  </w14:solidFill>
                </w14:textFill>
              </w:rPr>
              <w:t>≥</w:t>
            </w:r>
            <w:r>
              <w:rPr>
                <w:rFonts w:hint="eastAsia" w:ascii="Arial" w:hAnsi="Arial" w:eastAsia="仿宋" w:cs="Arial"/>
                <w:color w:val="000000" w:themeColor="text1"/>
                <w:kern w:val="0"/>
                <w:sz w:val="24"/>
                <w:szCs w:val="24"/>
                <w:lang w:val="en-US" w:eastAsia="zh-CN"/>
                <w14:textFill>
                  <w14:solidFill>
                    <w14:schemeClr w14:val="tx1"/>
                  </w14:solidFill>
                </w14:textFill>
              </w:rPr>
              <w:t>50</w:t>
            </w:r>
            <w:r>
              <w:rPr>
                <w:rFonts w:hint="eastAsia" w:ascii="仿宋" w:hAnsi="仿宋" w:eastAsia="仿宋" w:cs="仿宋"/>
                <w:color w:val="000000" w:themeColor="text1"/>
                <w:kern w:val="0"/>
                <w:sz w:val="24"/>
                <w:szCs w:val="24"/>
                <w14:textFill>
                  <w14:solidFill>
                    <w14:schemeClr w14:val="tx1"/>
                  </w14:solidFill>
                </w14:textFill>
              </w:rPr>
              <w:t>张(双面</w:t>
            </w:r>
            <w:r>
              <w:rPr>
                <w:rFonts w:hint="eastAsia" w:ascii="仿宋" w:hAnsi="仿宋" w:eastAsia="仿宋" w:cs="仿宋"/>
                <w:color w:val="000000" w:themeColor="text1"/>
                <w:kern w:val="0"/>
                <w:sz w:val="24"/>
                <w:szCs w:val="24"/>
                <w:lang w:val="en-US" w:eastAsia="zh-CN"/>
                <w14:textFill>
                  <w14:solidFill>
                    <w14:schemeClr w14:val="tx1"/>
                  </w14:solidFill>
                </w14:textFill>
              </w:rPr>
              <w:t>100</w:t>
            </w:r>
            <w:r>
              <w:rPr>
                <w:rFonts w:hint="eastAsia" w:ascii="仿宋" w:hAnsi="仿宋" w:eastAsia="仿宋" w:cs="仿宋"/>
                <w:color w:val="000000" w:themeColor="text1"/>
                <w:kern w:val="0"/>
                <w:sz w:val="24"/>
                <w:szCs w:val="24"/>
                <w14:textFill>
                  <w14:solidFill>
                    <w14:schemeClr w14:val="tx1"/>
                  </w14:solidFill>
                </w14:textFill>
              </w:rPr>
              <w:t>个页码)；装订位置前后侧斜钉、平行钉、中央平行钉；中央平行订容量：</w:t>
            </w:r>
            <w:r>
              <w:rPr>
                <w:rFonts w:hint="default" w:ascii="Arial" w:hAnsi="Arial" w:eastAsia="仿宋" w:cs="Arial"/>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50</w:t>
            </w:r>
            <w:r>
              <w:rPr>
                <w:rFonts w:hint="eastAsia" w:ascii="仿宋" w:hAnsi="仿宋" w:eastAsia="仿宋" w:cs="仿宋"/>
                <w:color w:val="000000" w:themeColor="text1"/>
                <w:kern w:val="0"/>
                <w:sz w:val="24"/>
                <w:szCs w:val="24"/>
                <w14:textFill>
                  <w14:solidFill>
                    <w14:schemeClr w14:val="tx1"/>
                  </w14:solidFill>
                </w14:textFill>
              </w:rPr>
              <w:t>张；打孔数量：2孔、4孔。</w:t>
            </w:r>
          </w:p>
        </w:tc>
      </w:tr>
      <w:tr w14:paraId="30CA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520B43A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7A52190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7E4096E2">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11.修边要求：通过过桥连接天地修边机、前口修边机，让小册子文本经过三面修边后更加整齐美观，形成一套可以高速工作的印刷装订修边整理系统。</w:t>
            </w:r>
          </w:p>
        </w:tc>
      </w:tr>
      <w:tr w14:paraId="137C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0249522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51E05DDB">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63DC6B1F">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12.修边组件裁切边宽度：前口修边机1~20mm，天地修边机1~35mm；</w:t>
            </w:r>
          </w:p>
          <w:p w14:paraId="277D784C">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修边速度：前口修边机最大3500份/时（A4），天地修边机最大2200份/时（A4）。</w:t>
            </w:r>
          </w:p>
        </w:tc>
      </w:tr>
      <w:tr w14:paraId="4D69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795" w:type="dxa"/>
            <w:vMerge w:val="continue"/>
            <w:shd w:val="clear" w:color="auto" w:fill="auto"/>
            <w:vAlign w:val="center"/>
          </w:tcPr>
          <w:p w14:paraId="63DF017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7D48FD5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742BBFC7">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13.国产操作系统适配兼容：能够兼容对接UOS、银河麒麟等国产操作系统，提供适配认证证明。（提供产品彩页或产品技术说明函作为证明材料）</w:t>
            </w:r>
          </w:p>
        </w:tc>
      </w:tr>
      <w:tr w14:paraId="794C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36B5706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637DB55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4F247B1D">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14.打印驱动具有收藏夹功能，实现把单双面、试卷拼版方式、交错分班、班级数量等功能选项叠加设置，保存在文件中；并根据实际需要进行收藏夹定制化，及时“添加至收藏夹中”，提高印刷操作效率。</w:t>
            </w:r>
          </w:p>
        </w:tc>
      </w:tr>
      <w:tr w14:paraId="5B18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0ABDAF4D">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464C6EC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6C2CC6AC">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15连续工作要求：印刷过程中，设备可24小时工作，不停机，不降速；支持多纸盒供纸系统，可不停机加纸。（提供产品彩页或产品技术说明函作为证明材料）</w:t>
            </w:r>
          </w:p>
        </w:tc>
      </w:tr>
      <w:tr w14:paraId="0E06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348FE5CE">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29BF6A3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6821BDD9">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16、具有试卷编程功能：可实现按套、组印刷输出，逐页\逐份的编程插页功能，插页可实现编号打印；并且把编程功能设置为收藏夹，方便调取。（提供产品彩页、操作手册、官网截图等证明材料）</w:t>
            </w:r>
          </w:p>
        </w:tc>
      </w:tr>
      <w:tr w14:paraId="5F7E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78BD7F3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7A9610F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6EDFDA86">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17.印品要求：符合国家办公设备及耗材质量检验检测中心DA/T 16-1995字迹材料耐久性检测标准，满足长期存档要求。（投标时需提供经国家认可的第三方检测机构出具的封面带有CMA和CNAS标识的检测报告扫描件，原件备查。检测报告中需体现本项参数）</w:t>
            </w:r>
          </w:p>
        </w:tc>
      </w:tr>
      <w:tr w14:paraId="3794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restart"/>
            <w:shd w:val="clear" w:color="auto" w:fill="auto"/>
            <w:vAlign w:val="center"/>
          </w:tcPr>
          <w:p w14:paraId="637A868E">
            <w:pPr>
              <w:widowControl/>
              <w:spacing w:line="500" w:lineRule="exact"/>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1543" w:type="dxa"/>
            <w:vMerge w:val="restart"/>
            <w:shd w:val="clear" w:color="auto" w:fill="auto"/>
            <w:vAlign w:val="center"/>
          </w:tcPr>
          <w:p w14:paraId="3A947DE8">
            <w:pPr>
              <w:widowControl/>
              <w:spacing w:line="500" w:lineRule="exact"/>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集中印务系统</w:t>
            </w:r>
          </w:p>
        </w:tc>
        <w:tc>
          <w:tcPr>
            <w:tcW w:w="6986" w:type="dxa"/>
            <w:shd w:val="clear" w:color="auto" w:fill="auto"/>
            <w:vAlign w:val="center"/>
          </w:tcPr>
          <w:p w14:paraId="56272FAB">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1.核心技术及功能：集页面描述解析技术、色彩管理技术、可变数据处理技术和打印控制技术于一体的具备共享能力强、操作便捷，自动化程度高的</w:t>
            </w:r>
            <w:r>
              <w:rPr>
                <w:rFonts w:hint="eastAsia" w:ascii="仿宋" w:hAnsi="仿宋" w:eastAsia="仿宋" w:cs="仿宋"/>
                <w:b/>
                <w:i/>
                <w:color w:val="000000" w:themeColor="text1"/>
                <w:kern w:val="0"/>
                <w:sz w:val="24"/>
                <w:szCs w:val="24"/>
                <w:u w:val="single"/>
                <w14:textFill>
                  <w14:solidFill>
                    <w14:schemeClr w14:val="tx1"/>
                  </w14:solidFill>
                </w14:textFill>
              </w:rPr>
              <w:t>试卷印刷</w:t>
            </w:r>
            <w:r>
              <w:rPr>
                <w:rFonts w:hint="eastAsia" w:ascii="仿宋" w:hAnsi="仿宋" w:eastAsia="仿宋" w:cs="仿宋"/>
                <w:color w:val="000000" w:themeColor="text1"/>
                <w:kern w:val="0"/>
                <w:sz w:val="24"/>
                <w:szCs w:val="24"/>
                <w14:textFill>
                  <w14:solidFill>
                    <w14:schemeClr w14:val="tx1"/>
                  </w14:solidFill>
                </w14:textFill>
              </w:rPr>
              <w:t>数字化自动工作流程。</w:t>
            </w:r>
          </w:p>
        </w:tc>
      </w:tr>
      <w:tr w14:paraId="721B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59097DD0">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2E6EAA7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3741B816">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2.基于PDF技术：以Postscript/PDF数字化工作流程核心为基础，具备传统数字化工作流程的基础功能，能够高效地支持对各种复杂的页面图文信息的处理。</w:t>
            </w:r>
          </w:p>
        </w:tc>
      </w:tr>
      <w:tr w14:paraId="31E2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5CA1057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5D0A980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32FF47B1">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3.产品模型：面向产品模型取代传统面向过程模型，以</w:t>
            </w:r>
            <w:r>
              <w:rPr>
                <w:rFonts w:hint="eastAsia" w:ascii="仿宋" w:hAnsi="仿宋" w:eastAsia="仿宋" w:cs="仿宋"/>
                <w:b/>
                <w:i/>
                <w:color w:val="000000" w:themeColor="text1"/>
                <w:kern w:val="0"/>
                <w:sz w:val="24"/>
                <w:szCs w:val="24"/>
                <w:u w:val="single"/>
                <w14:textFill>
                  <w14:solidFill>
                    <w14:schemeClr w14:val="tx1"/>
                  </w14:solidFill>
                </w14:textFill>
              </w:rPr>
              <w:t>试卷印刷</w:t>
            </w:r>
            <w:r>
              <w:rPr>
                <w:rFonts w:hint="eastAsia" w:ascii="仿宋" w:hAnsi="仿宋" w:eastAsia="仿宋" w:cs="仿宋"/>
                <w:color w:val="000000" w:themeColor="text1"/>
                <w:kern w:val="0"/>
                <w:sz w:val="24"/>
                <w:szCs w:val="24"/>
                <w14:textFill>
                  <w14:solidFill>
                    <w14:schemeClr w14:val="tx1"/>
                  </w14:solidFill>
                </w14:textFill>
              </w:rPr>
              <w:t>工艺模板为中心，最大可能简化用户的操作。可在服务器端自行创建， 编辑好的产品模型模板存储于数据库中，并自动推送到所有客户端；</w:t>
            </w:r>
            <w:r>
              <w:rPr>
                <w:rFonts w:hint="eastAsia" w:ascii="仿宋" w:hAnsi="仿宋" w:eastAsia="仿宋" w:cs="仿宋"/>
                <w:b/>
                <w:i/>
                <w:color w:val="000000" w:themeColor="text1"/>
                <w:kern w:val="0"/>
                <w:sz w:val="24"/>
                <w:szCs w:val="24"/>
                <w:u w:val="single"/>
                <w14:textFill>
                  <w14:solidFill>
                    <w14:schemeClr w14:val="tx1"/>
                  </w14:solidFill>
                </w14:textFill>
              </w:rPr>
              <w:t>默认数量≥40个。（提供产品操作说明或界面截图等证明材料）</w:t>
            </w:r>
          </w:p>
        </w:tc>
      </w:tr>
      <w:tr w14:paraId="703D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48AA9C3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357622A6">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126E170B">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4.全自动流程工作模式：根据试卷印刷工艺模板，自动适配打印设备，自动对用户作业进行试卷拼版、可变数据合成、栅格化处理、封面植入、水印标识等处理。</w:t>
            </w:r>
          </w:p>
        </w:tc>
      </w:tr>
      <w:tr w14:paraId="3415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130EBA4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37E3884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170E9491">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5.扩展及效率：可配置的多RIP处理器及末端VDP合成处理器，适合多数字印刷机高速生产要求。</w:t>
            </w:r>
          </w:p>
        </w:tc>
      </w:tr>
      <w:tr w14:paraId="6093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480FC78F">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6400125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5A5937C0">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6.打号：通过产品模型可以给每份文件自动打印一个编号，并且可以指定编号打印的位置，便于重要文件地分发管理。</w:t>
            </w:r>
          </w:p>
        </w:tc>
      </w:tr>
      <w:tr w14:paraId="2DAD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41FAF9C1">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04639A47">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611C4B46">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7.电子印章：能够根据需要，自动为每份文件打印公章。用户可以自己制定公章图案，任意指定加盖公章的位置。同时系统对公章实行加密管理，只有授权用户才能使用，保证了印章安全。</w:t>
            </w:r>
          </w:p>
        </w:tc>
      </w:tr>
      <w:tr w14:paraId="7581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1DFC16E5">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0F7E2708">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3F7FD255">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8.打印方式：1)、提供网页打印方式，简单易用，无需安装驱动，可以进行预览和编辑，可以进行电子书预览，并在打印前进行电子签章、页面排序、插入空白页等调整。</w:t>
            </w:r>
          </w:p>
          <w:p w14:paraId="79F4EBA0">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2)、WSD虚拟打印机方式，可以通过选择服务器端“产品模型”的方式方便的完成一个复杂的作业。</w:t>
            </w:r>
          </w:p>
        </w:tc>
      </w:tr>
      <w:tr w14:paraId="5FE4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519764FC">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21C27512">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1D6CC6C8">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9.色彩管理:支持各种RGB、CMYK等各种色彩模式文件的输入输出。系统内部建有完备的色彩管理系统，支持标准ICC Profile文件的使用。能够对色彩进行精确的校正，保证色彩在不同型号的设备上得到一致的再现。</w:t>
            </w:r>
          </w:p>
        </w:tc>
      </w:tr>
      <w:tr w14:paraId="0407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22087619">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1543" w:type="dxa"/>
            <w:vMerge w:val="continue"/>
            <w:shd w:val="clear" w:color="auto" w:fill="auto"/>
            <w:vAlign w:val="center"/>
          </w:tcPr>
          <w:p w14:paraId="04ADAC5A">
            <w:pPr>
              <w:spacing w:line="500" w:lineRule="exact"/>
              <w:jc w:val="center"/>
              <w:rPr>
                <w:rFonts w:hint="eastAsia" w:ascii="仿宋" w:hAnsi="仿宋" w:eastAsia="仿宋" w:cs="仿宋"/>
                <w:color w:val="000000" w:themeColor="text1"/>
                <w:sz w:val="24"/>
                <w:szCs w:val="24"/>
                <w14:textFill>
                  <w14:solidFill>
                    <w14:schemeClr w14:val="tx1"/>
                  </w14:solidFill>
                </w14:textFill>
              </w:rPr>
            </w:pPr>
          </w:p>
        </w:tc>
        <w:tc>
          <w:tcPr>
            <w:tcW w:w="6986" w:type="dxa"/>
            <w:shd w:val="clear" w:color="auto" w:fill="auto"/>
            <w:vAlign w:val="center"/>
          </w:tcPr>
          <w:p w14:paraId="559A0A0C">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10.系统最低配置要求:CPU：I7 ，主频：四核 2.9GHZ  65W，内存：8G以上，硬盘：500G  7200转（固态硬盘），WIN10 专业版（64位）</w:t>
            </w:r>
          </w:p>
        </w:tc>
      </w:tr>
      <w:tr w14:paraId="7718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shd w:val="clear" w:color="auto" w:fill="auto"/>
            <w:vAlign w:val="center"/>
          </w:tcPr>
          <w:p w14:paraId="74758D91">
            <w:pPr>
              <w:widowControl/>
              <w:spacing w:line="500" w:lineRule="exact"/>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1543" w:type="dxa"/>
            <w:vMerge w:val="restart"/>
            <w:shd w:val="clear" w:color="auto" w:fill="auto"/>
            <w:vAlign w:val="center"/>
          </w:tcPr>
          <w:p w14:paraId="24E50AED">
            <w:pPr>
              <w:widowControl/>
              <w:spacing w:line="500" w:lineRule="exact"/>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维修维护及驻点服务项</w:t>
            </w:r>
          </w:p>
        </w:tc>
        <w:tc>
          <w:tcPr>
            <w:tcW w:w="6986" w:type="dxa"/>
            <w:shd w:val="clear" w:color="auto" w:fill="auto"/>
            <w:vAlign w:val="center"/>
          </w:tcPr>
          <w:p w14:paraId="12B04FB7">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完成合同租赁服务期间所有的维修维护服务，确保印刷的正常运转。上门</w:t>
            </w:r>
            <w:r>
              <w:rPr>
                <w:rFonts w:hint="eastAsia" w:ascii="仿宋" w:hAnsi="仿宋" w:eastAsia="仿宋" w:cs="仿宋"/>
                <w:bCs/>
                <w:color w:val="000000" w:themeColor="text1"/>
                <w:sz w:val="24"/>
                <w:szCs w:val="24"/>
                <w14:textFill>
                  <w14:solidFill>
                    <w14:schemeClr w14:val="tx1"/>
                  </w14:solidFill>
                </w14:textFill>
              </w:rPr>
              <w:t>服务人员需具有所投产品品牌厂家出具的技术资格认证证书。</w:t>
            </w:r>
          </w:p>
        </w:tc>
      </w:tr>
      <w:tr w14:paraId="2F7C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shd w:val="clear" w:color="auto" w:fill="auto"/>
            <w:vAlign w:val="center"/>
          </w:tcPr>
          <w:p w14:paraId="1D7C79F0">
            <w:pPr>
              <w:widowControl/>
              <w:spacing w:line="500" w:lineRule="exact"/>
              <w:jc w:val="center"/>
              <w:textAlignment w:val="center"/>
              <w:rPr>
                <w:rFonts w:hint="eastAsia" w:ascii="仿宋" w:hAnsi="仿宋" w:eastAsia="仿宋" w:cs="仿宋"/>
                <w:color w:val="000000" w:themeColor="text1"/>
                <w:kern w:val="0"/>
                <w:sz w:val="24"/>
                <w:szCs w:val="24"/>
                <w14:textFill>
                  <w14:solidFill>
                    <w14:schemeClr w14:val="tx1"/>
                  </w14:solidFill>
                </w14:textFill>
              </w:rPr>
            </w:pPr>
          </w:p>
        </w:tc>
        <w:tc>
          <w:tcPr>
            <w:tcW w:w="1543" w:type="dxa"/>
            <w:vMerge w:val="continue"/>
            <w:shd w:val="clear" w:color="auto" w:fill="auto"/>
            <w:vAlign w:val="center"/>
          </w:tcPr>
          <w:p w14:paraId="798A3D56">
            <w:pPr>
              <w:widowControl/>
              <w:spacing w:line="500" w:lineRule="exact"/>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6986" w:type="dxa"/>
            <w:shd w:val="clear" w:color="auto" w:fill="auto"/>
            <w:vAlign w:val="center"/>
          </w:tcPr>
          <w:p w14:paraId="3B6CB52E">
            <w:pPr>
              <w:widowControl/>
              <w:spacing w:line="500" w:lineRule="exact"/>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每学期大批量印刷资料（ 如：彩色图示汇报材料、会议资料、假期作业：（暑假作业、国庆作业、寒假作业）教务考务资料：（学生练习册、考务手册、试卷、答题卡、奖状、会议资料、学校海报、周刊、检查表、考场信息表、分班确认表、考务室排位表、体育运动会的会务手册、校园宣传资料等印刷需求），中标商需免费提供2次1人驻点服务，</w:t>
            </w:r>
            <w:r>
              <w:rPr>
                <w:rFonts w:hint="eastAsia" w:ascii="仿宋" w:hAnsi="仿宋" w:eastAsia="仿宋" w:cs="仿宋"/>
                <w:color w:val="000000" w:themeColor="text1"/>
                <w:sz w:val="24"/>
                <w:szCs w:val="24"/>
                <w14:textFill>
                  <w14:solidFill>
                    <w14:schemeClr w14:val="tx1"/>
                  </w14:solidFill>
                </w14:textFill>
              </w:rPr>
              <w:t>每次服务时长不少于3天</w:t>
            </w:r>
            <w:r>
              <w:rPr>
                <w:rFonts w:hint="eastAsia" w:ascii="仿宋" w:hAnsi="仿宋" w:eastAsia="仿宋" w:cs="仿宋"/>
                <w:color w:val="000000" w:themeColor="text1"/>
                <w:kern w:val="0"/>
                <w:sz w:val="24"/>
                <w:szCs w:val="24"/>
                <w14:textFill>
                  <w14:solidFill>
                    <w14:schemeClr w14:val="tx1"/>
                  </w14:solidFill>
                </w14:textFill>
              </w:rPr>
              <w:t>。</w:t>
            </w:r>
          </w:p>
        </w:tc>
      </w:tr>
    </w:tbl>
    <w:p w14:paraId="31760B8C">
      <w:pPr>
        <w:spacing w:line="500" w:lineRule="exact"/>
        <w:jc w:val="left"/>
        <w:rPr>
          <w:rFonts w:hint="eastAsia" w:ascii="黑体" w:hAnsi="黑体" w:eastAsia="黑体" w:cs="Times New Roman"/>
          <w:color w:val="000000" w:themeColor="text1"/>
          <w:sz w:val="32"/>
          <w:szCs w:val="32"/>
          <w14:textFill>
            <w14:solidFill>
              <w14:schemeClr w14:val="tx1"/>
            </w14:solidFill>
          </w14:textFill>
        </w:rPr>
      </w:pPr>
    </w:p>
    <w:p w14:paraId="2E5D9897">
      <w:pPr>
        <w:spacing w:line="500" w:lineRule="exact"/>
        <w:jc w:val="left"/>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四、竞价资料</w:t>
      </w:r>
    </w:p>
    <w:p w14:paraId="09B17227">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需要投标人/供应商提供的证明文件资料：1.营业执照复印件、2.法人授权委托证明书和与会代表身份证复印件或者法人代表证明书和身份证复印件；3.承诺函；4.供应商基本情况表；5.深圳市市场监督管理局商事主体登记及备案信息查询单（以上材料均盖公章）；6.需求书中要求的各类资格证书。</w:t>
      </w:r>
    </w:p>
    <w:p w14:paraId="329CA3FE">
      <w:pPr>
        <w:pStyle w:val="13"/>
        <w:spacing w:line="500" w:lineRule="exact"/>
        <w:jc w:val="left"/>
        <w:rPr>
          <w:color w:val="000000" w:themeColor="text1"/>
          <w14:textFill>
            <w14:solidFill>
              <w14:schemeClr w14:val="tx1"/>
            </w14:solidFill>
          </w14:textFill>
        </w:rPr>
      </w:pPr>
    </w:p>
    <w:p w14:paraId="43BBF725">
      <w:pPr>
        <w:spacing w:line="500" w:lineRule="exact"/>
        <w:jc w:val="left"/>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五、商务要求</w:t>
      </w:r>
    </w:p>
    <w:p w14:paraId="44059912">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（一）服务期限</w:t>
      </w:r>
    </w:p>
    <w:p w14:paraId="77051068">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本项目服务期限为一年。</w:t>
      </w:r>
    </w:p>
    <w:p w14:paraId="4D078252">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（二）售后服务要求</w:t>
      </w:r>
    </w:p>
    <w:p w14:paraId="1461C641">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1.服务时间要求：当印刷设备发生故障时，电话通知调度人员派人前来修复，服务时间为7*24小时服务。</w:t>
      </w:r>
    </w:p>
    <w:p w14:paraId="1738CDAB">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2.响应时间要求：在接到服务要求后</w:t>
      </w:r>
      <w:r>
        <w:rPr>
          <w:rFonts w:hint="eastAsia" w:ascii="仿宋" w:hAnsi="仿宋" w:eastAsia="仿宋" w:cs="Times New Roman"/>
          <w:bCs/>
          <w:color w:val="000000" w:themeColor="text1"/>
          <w:sz w:val="30"/>
          <w:szCs w:val="30"/>
          <w14:textFill>
            <w14:solidFill>
              <w14:schemeClr w14:val="tx1"/>
            </w14:solidFill>
          </w14:textFill>
        </w:rPr>
        <w:t>8</w:t>
      </w:r>
      <w:r>
        <w:rPr>
          <w:rFonts w:ascii="仿宋" w:hAnsi="仿宋" w:eastAsia="仿宋" w:cs="Times New Roman"/>
          <w:bCs/>
          <w:color w:val="000000" w:themeColor="text1"/>
          <w:sz w:val="30"/>
          <w:szCs w:val="30"/>
          <w14:textFill>
            <w14:solidFill>
              <w14:schemeClr w14:val="tx1"/>
            </w14:solidFill>
          </w14:textFill>
        </w:rPr>
        <w:t>工作小时内到达现场，</w:t>
      </w:r>
      <w:r>
        <w:rPr>
          <w:rFonts w:hint="eastAsia" w:ascii="仿宋" w:hAnsi="仿宋" w:eastAsia="仿宋" w:cs="Times New Roman"/>
          <w:bCs/>
          <w:color w:val="000000" w:themeColor="text1"/>
          <w:sz w:val="30"/>
          <w:szCs w:val="30"/>
          <w14:textFill>
            <w14:solidFill>
              <w14:schemeClr w14:val="tx1"/>
            </w14:solidFill>
          </w14:textFill>
        </w:rPr>
        <w:t>24</w:t>
      </w:r>
      <w:r>
        <w:rPr>
          <w:rFonts w:ascii="仿宋" w:hAnsi="仿宋" w:eastAsia="仿宋" w:cs="Times New Roman"/>
          <w:bCs/>
          <w:color w:val="000000" w:themeColor="text1"/>
          <w:sz w:val="30"/>
          <w:szCs w:val="30"/>
          <w14:textFill>
            <w14:solidFill>
              <w14:schemeClr w14:val="tx1"/>
            </w14:solidFill>
          </w14:textFill>
        </w:rPr>
        <w:t>小时解决问题。</w:t>
      </w:r>
    </w:p>
    <w:p w14:paraId="4EFA2E44">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3.如预计在2个工作日内无法修复，则应在24小时内提供同档次备用印刷设备供采购人使用，如印刷设备维修后使用效果不能满足采购人工作要求，则需免费提供性能相同的机器给采购人使用。</w:t>
      </w:r>
    </w:p>
    <w:p w14:paraId="31B654FF">
      <w:pPr>
        <w:pStyle w:val="2"/>
        <w:spacing w:line="500" w:lineRule="exact"/>
        <w:rPr>
          <w:rFonts w:eastAsia="仿宋"/>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 xml:space="preserve">   4.服务资质要求：中标后提供原厂商正式售后服务承诺函并加盖公章，服务人员不少于6名，且具有所投产品品牌厂家出具的技术资格认证证书。</w:t>
      </w:r>
    </w:p>
    <w:p w14:paraId="7FE3FBA8">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5</w:t>
      </w:r>
      <w:r>
        <w:rPr>
          <w:rFonts w:ascii="仿宋" w:hAnsi="仿宋" w:eastAsia="仿宋" w:cs="Times New Roman"/>
          <w:bCs/>
          <w:color w:val="000000" w:themeColor="text1"/>
          <w:sz w:val="30"/>
          <w:szCs w:val="30"/>
          <w14:textFill>
            <w14:solidFill>
              <w14:schemeClr w14:val="tx1"/>
            </w14:solidFill>
          </w14:textFill>
        </w:rPr>
        <w:t>.所有印刷办公设备输出资料必须保密，不得携带外出，不得泄露。</w:t>
      </w:r>
    </w:p>
    <w:p w14:paraId="18A48E2C">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（三）验收要求</w:t>
      </w:r>
    </w:p>
    <w:p w14:paraId="11D3DE94">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中标人成交后必须提供原厂商产品授权证明并加盖公章</w:t>
      </w:r>
      <w:r>
        <w:rPr>
          <w:rFonts w:hint="eastAsia" w:ascii="仿宋" w:hAnsi="仿宋" w:eastAsia="仿宋" w:cs="Times New Roman"/>
          <w:bCs/>
          <w:color w:val="000000" w:themeColor="text1"/>
          <w:sz w:val="30"/>
          <w:szCs w:val="30"/>
          <w14:textFill>
            <w14:solidFill>
              <w14:schemeClr w14:val="tx1"/>
            </w14:solidFill>
          </w14:textFill>
        </w:rPr>
        <w:t>，</w:t>
      </w:r>
      <w:r>
        <w:rPr>
          <w:rFonts w:ascii="仿宋" w:hAnsi="仿宋" w:eastAsia="仿宋" w:cs="Times New Roman"/>
          <w:bCs/>
          <w:color w:val="000000" w:themeColor="text1"/>
          <w:sz w:val="30"/>
          <w:szCs w:val="30"/>
          <w14:textFill>
            <w14:solidFill>
              <w14:schemeClr w14:val="tx1"/>
            </w14:solidFill>
          </w14:textFill>
        </w:rPr>
        <w:t>严格按</w:t>
      </w:r>
      <w:r>
        <w:rPr>
          <w:rFonts w:hint="eastAsia" w:ascii="仿宋" w:hAnsi="仿宋" w:eastAsia="仿宋" w:cs="Times New Roman"/>
          <w:bCs/>
          <w:color w:val="000000" w:themeColor="text1"/>
          <w:sz w:val="30"/>
          <w:szCs w:val="30"/>
          <w14:textFill>
            <w14:solidFill>
              <w14:schemeClr w14:val="tx1"/>
            </w14:solidFill>
          </w14:textFill>
        </w:rPr>
        <w:t>需求书</w:t>
      </w:r>
      <w:r>
        <w:rPr>
          <w:rFonts w:ascii="仿宋" w:hAnsi="仿宋" w:eastAsia="仿宋" w:cs="Times New Roman"/>
          <w:bCs/>
          <w:color w:val="000000" w:themeColor="text1"/>
          <w:sz w:val="30"/>
          <w:szCs w:val="30"/>
          <w14:textFill>
            <w14:solidFill>
              <w14:schemeClr w14:val="tx1"/>
            </w14:solidFill>
          </w14:textFill>
        </w:rPr>
        <w:t>服务要求及</w:t>
      </w:r>
      <w:r>
        <w:rPr>
          <w:rFonts w:hint="eastAsia" w:ascii="仿宋" w:hAnsi="仿宋" w:eastAsia="仿宋" w:cs="Times New Roman"/>
          <w:bCs/>
          <w:color w:val="000000" w:themeColor="text1"/>
          <w:sz w:val="30"/>
          <w:szCs w:val="30"/>
          <w14:textFill>
            <w14:solidFill>
              <w14:schemeClr w14:val="tx1"/>
            </w14:solidFill>
          </w14:textFill>
        </w:rPr>
        <w:t>需求书</w:t>
      </w:r>
      <w:r>
        <w:rPr>
          <w:rFonts w:ascii="仿宋" w:hAnsi="仿宋" w:eastAsia="仿宋" w:cs="Times New Roman"/>
          <w:bCs/>
          <w:color w:val="000000" w:themeColor="text1"/>
          <w:sz w:val="30"/>
          <w:szCs w:val="30"/>
          <w14:textFill>
            <w14:solidFill>
              <w14:schemeClr w14:val="tx1"/>
            </w14:solidFill>
          </w14:textFill>
        </w:rPr>
        <w:t>响应服务内容执行。</w:t>
      </w:r>
    </w:p>
    <w:p w14:paraId="05DADE5F">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ascii="仿宋" w:hAnsi="仿宋" w:eastAsia="仿宋" w:cs="Times New Roman"/>
          <w:bCs/>
          <w:color w:val="000000" w:themeColor="text1"/>
          <w:sz w:val="30"/>
          <w:szCs w:val="30"/>
          <w14:textFill>
            <w14:solidFill>
              <w14:schemeClr w14:val="tx1"/>
            </w14:solidFill>
          </w14:textFill>
        </w:rPr>
        <w:t>（四）付款方式</w:t>
      </w:r>
    </w:p>
    <w:p w14:paraId="72A9895A">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自</w:t>
      </w:r>
      <w:r>
        <w:rPr>
          <w:rFonts w:ascii="仿宋" w:hAnsi="仿宋" w:eastAsia="仿宋" w:cs="Times New Roman"/>
          <w:bCs/>
          <w:color w:val="000000" w:themeColor="text1"/>
          <w:sz w:val="30"/>
          <w:szCs w:val="30"/>
          <w14:textFill>
            <w14:solidFill>
              <w14:schemeClr w14:val="tx1"/>
            </w14:solidFill>
          </w14:textFill>
        </w:rPr>
        <w:t>合同生效</w:t>
      </w:r>
      <w:r>
        <w:rPr>
          <w:rFonts w:hint="eastAsia" w:ascii="仿宋" w:hAnsi="仿宋" w:eastAsia="仿宋" w:cs="Times New Roman"/>
          <w:bCs/>
          <w:color w:val="000000" w:themeColor="text1"/>
          <w:sz w:val="30"/>
          <w:szCs w:val="30"/>
          <w14:textFill>
            <w14:solidFill>
              <w14:schemeClr w14:val="tx1"/>
            </w14:solidFill>
          </w14:textFill>
        </w:rPr>
        <w:t>起，按照合同履约进度</w:t>
      </w:r>
      <w:r>
        <w:rPr>
          <w:rFonts w:ascii="仿宋" w:hAnsi="仿宋" w:eastAsia="仿宋" w:cs="Times New Roman"/>
          <w:bCs/>
          <w:color w:val="000000" w:themeColor="text1"/>
          <w:sz w:val="30"/>
          <w:szCs w:val="30"/>
          <w14:textFill>
            <w14:solidFill>
              <w14:schemeClr w14:val="tx1"/>
            </w14:solidFill>
          </w14:textFill>
        </w:rPr>
        <w:t>，</w:t>
      </w:r>
      <w:r>
        <w:rPr>
          <w:rFonts w:hint="eastAsia" w:ascii="仿宋" w:hAnsi="仿宋" w:eastAsia="仿宋" w:cs="Times New Roman"/>
          <w:bCs/>
          <w:color w:val="000000" w:themeColor="text1"/>
          <w:sz w:val="30"/>
          <w:szCs w:val="30"/>
          <w14:textFill>
            <w14:solidFill>
              <w14:schemeClr w14:val="tx1"/>
            </w14:solidFill>
          </w14:textFill>
        </w:rPr>
        <w:t>每半年支付一次费用。</w:t>
      </w:r>
    </w:p>
    <w:p w14:paraId="3B1DDB02">
      <w:pPr>
        <w:spacing w:line="500" w:lineRule="exact"/>
        <w:ind w:firstLine="600" w:firstLineChars="200"/>
        <w:rPr>
          <w:rFonts w:hint="eastAsia" w:ascii="仿宋" w:hAnsi="仿宋" w:eastAsia="仿宋" w:cs="Times New Roman"/>
          <w:bCs/>
          <w:color w:val="000000" w:themeColor="text1"/>
          <w:sz w:val="30"/>
          <w:szCs w:val="30"/>
          <w14:textFill>
            <w14:solidFill>
              <w14:schemeClr w14:val="tx1"/>
            </w14:solidFill>
          </w14:textFill>
        </w:rPr>
      </w:pPr>
      <w:bookmarkStart w:id="0" w:name="_GoBack"/>
      <w:bookmarkEnd w:id="0"/>
    </w:p>
    <w:sectPr>
      <w:footerReference r:id="rId5" w:type="first"/>
      <w:footerReference r:id="rId3" w:type="default"/>
      <w:footerReference r:id="rId4" w:type="even"/>
      <w:pgSz w:w="11906" w:h="16838"/>
      <w:pgMar w:top="1474" w:right="1134" w:bottom="1134" w:left="136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C77599-0B49-4D5A-B6A8-4C979F1A0290}"/>
  </w:font>
  <w:font w:name="黑体">
    <w:panose1 w:val="02010609060101010101"/>
    <w:charset w:val="86"/>
    <w:family w:val="auto"/>
    <w:pitch w:val="default"/>
    <w:sig w:usb0="800002BF" w:usb1="38CF7CFA" w:usb2="00000016" w:usb3="00000000" w:csb0="00040001" w:csb1="00000000"/>
    <w:embedRegular r:id="rId2" w:fontKey="{0D0D0F8F-4C91-457B-8517-3A6C8531C0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E883C35B-D493-474C-A757-5DFDCBF712E6}"/>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894CC00E-77F2-4647-847B-8CEE1C5F5812}"/>
  </w:font>
  <w:font w:name="方正仿宋_GB2312">
    <w:panose1 w:val="02000000000000000000"/>
    <w:charset w:val="86"/>
    <w:family w:val="auto"/>
    <w:pitch w:val="default"/>
    <w:sig w:usb0="A00002BF" w:usb1="184F6CFA" w:usb2="00000012" w:usb3="00000000" w:csb0="00040001" w:csb1="00000000"/>
    <w:embedRegular r:id="rId5" w:fontKey="{A979A48E-1CF3-4A2D-89AB-EF4BC64302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5866">
    <w:pPr>
      <w:pStyle w:val="11"/>
      <w:jc w:val="center"/>
    </w:pPr>
    <w:r>
      <w:rPr>
        <w:rFonts w:ascii="宋体" w:hAnsi="宋体"/>
        <w:sz w:val="21"/>
        <w:szCs w:val="21"/>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657225" cy="345440"/>
              <wp:effectExtent l="0" t="0" r="9525" b="0"/>
              <wp:wrapNone/>
              <wp:docPr id="1968783879" name="文本框 3" descr="Internal"/>
              <wp:cNvGraphicFramePr/>
              <a:graphic xmlns:a="http://schemas.openxmlformats.org/drawingml/2006/main">
                <a:graphicData uri="http://schemas.microsoft.com/office/word/2010/wordprocessingShape">
                  <wps:wsp>
                    <wps:cNvSpPr txBox="1"/>
                    <wps:spPr>
                      <a:xfrm>
                        <a:off x="0" y="0"/>
                        <a:ext cx="657225" cy="345440"/>
                      </a:xfrm>
                      <a:prstGeom prst="rect">
                        <a:avLst/>
                      </a:prstGeom>
                      <a:noFill/>
                      <a:ln>
                        <a:noFill/>
                      </a:ln>
                    </wps:spPr>
                    <wps:txbx>
                      <w:txbxContent>
                        <w:p w14:paraId="678EBF43">
                          <w:pPr>
                            <w:rPr>
                              <w:rFonts w:eastAsia="Calibri" w:cs="Calibri"/>
                              <w:color w:val="000000"/>
                              <w:sz w:val="20"/>
                              <w:szCs w:val="20"/>
                            </w:rPr>
                          </w:pPr>
                          <w:r>
                            <w:rPr>
                              <w:rFonts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3" o:spid="_x0000_s1026" o:spt="202" alt="Internal" type="#_x0000_t202" style="position:absolute;left:0pt;height:27.2pt;width:51.7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Pw9bl1AAAAAQBAAAPAAAAAAAAAAEAIAAA&#10;ACIAAABkcnMvZG93bnJldi54bWxQSwECFAAUAAAACACHTuJATdKVuEkCAABuBAAADgAAAAAAAAAB&#10;ACAAAAAjAQAAZHJzL2Uyb0RvYy54bWxQSwUGAAAAAAYABgBZAQAA3gUAAAAA&#10;">
              <v:fill on="f" focussize="0,0"/>
              <v:stroke on="f"/>
              <v:imagedata o:title=""/>
              <o:lock v:ext="edit" aspectratio="f"/>
              <v:textbox inset="20pt,0mm,0mm,15pt" style="mso-fit-shape-to-text:t;">
                <w:txbxContent>
                  <w:p w14:paraId="678EBF43">
                    <w:pPr>
                      <w:rPr>
                        <w:rFonts w:eastAsia="Calibri" w:cs="Calibri"/>
                        <w:color w:val="000000"/>
                        <w:sz w:val="20"/>
                        <w:szCs w:val="20"/>
                      </w:rPr>
                    </w:pPr>
                    <w:r>
                      <w:rPr>
                        <w:rFonts w:eastAsia="Calibri" w:cs="Calibri"/>
                        <w:color w:val="000000"/>
                        <w:sz w:val="20"/>
                        <w:szCs w:val="20"/>
                      </w:rPr>
                      <w:t>Internal</w:t>
                    </w:r>
                  </w:p>
                </w:txbxContent>
              </v:textbox>
            </v:shape>
          </w:pict>
        </mc:Fallback>
      </mc:AlternateConten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A085">
    <w:pPr>
      <w:pStyle w:val="11"/>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57225" cy="345440"/>
              <wp:effectExtent l="0" t="0" r="9525" b="0"/>
              <wp:wrapNone/>
              <wp:docPr id="1838323020" name="文本框 2" descr="Internal"/>
              <wp:cNvGraphicFramePr/>
              <a:graphic xmlns:a="http://schemas.openxmlformats.org/drawingml/2006/main">
                <a:graphicData uri="http://schemas.microsoft.com/office/word/2010/wordprocessingShape">
                  <wps:wsp>
                    <wps:cNvSpPr txBox="1"/>
                    <wps:spPr>
                      <a:xfrm>
                        <a:off x="0" y="0"/>
                        <a:ext cx="657225" cy="345440"/>
                      </a:xfrm>
                      <a:prstGeom prst="rect">
                        <a:avLst/>
                      </a:prstGeom>
                      <a:noFill/>
                      <a:ln>
                        <a:noFill/>
                      </a:ln>
                    </wps:spPr>
                    <wps:txbx>
                      <w:txbxContent>
                        <w:p w14:paraId="1C680DE3">
                          <w:pPr>
                            <w:rPr>
                              <w:rFonts w:eastAsia="Calibri" w:cs="Calibri"/>
                              <w:color w:val="000000"/>
                              <w:sz w:val="20"/>
                              <w:szCs w:val="20"/>
                            </w:rPr>
                          </w:pPr>
                          <w:r>
                            <w:rPr>
                              <w:rFonts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2" o:spid="_x0000_s1026" o:spt="202" alt="Internal" type="#_x0000_t202" style="position:absolute;left:0pt;height:27.2pt;width:51.7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Pw9bl1AAAAAQBAAAPAAAAAAAAAAEAIAAAACIA&#10;AABkcnMvZG93bnJldi54bWxQSwECFAAUAAAACACHTuJAfyV3ekYCAABuBAAADgAAAAAAAAABACAA&#10;AAAjAQAAZHJzL2Uyb0RvYy54bWxQSwUGAAAAAAYABgBZAQAA2wUAAAAA&#10;">
              <v:fill on="f" focussize="0,0"/>
              <v:stroke on="f"/>
              <v:imagedata o:title=""/>
              <o:lock v:ext="edit" aspectratio="f"/>
              <v:textbox inset="20pt,0mm,0mm,15pt" style="mso-fit-shape-to-text:t;">
                <w:txbxContent>
                  <w:p w14:paraId="1C680DE3">
                    <w:pPr>
                      <w:rPr>
                        <w:rFonts w:eastAsia="Calibri" w:cs="Calibri"/>
                        <w:color w:val="000000"/>
                        <w:sz w:val="20"/>
                        <w:szCs w:val="20"/>
                      </w:rPr>
                    </w:pPr>
                    <w:r>
                      <w:rPr>
                        <w:rFonts w:eastAsia="Calibri" w:cs="Calibri"/>
                        <w:color w:val="000000"/>
                        <w:sz w:val="20"/>
                        <w:szCs w:val="20"/>
                      </w:rPr>
                      <w:t>Internal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B277">
    <w:pPr>
      <w:pStyle w:val="11"/>
      <w:jc w:val="center"/>
    </w:pPr>
    <w:r>
      <w:rPr>
        <w:rFonts w:ascii="宋体" w:hAnsi="宋体"/>
        <w:sz w:val="21"/>
        <w:szCs w:val="21"/>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7225" cy="345440"/>
              <wp:effectExtent l="0" t="0" r="9525" b="0"/>
              <wp:wrapNone/>
              <wp:docPr id="1752037561" name="文本框 1" descr="Internal"/>
              <wp:cNvGraphicFramePr/>
              <a:graphic xmlns:a="http://schemas.openxmlformats.org/drawingml/2006/main">
                <a:graphicData uri="http://schemas.microsoft.com/office/word/2010/wordprocessingShape">
                  <wps:wsp>
                    <wps:cNvSpPr txBox="1"/>
                    <wps:spPr>
                      <a:xfrm>
                        <a:off x="0" y="0"/>
                        <a:ext cx="657225" cy="345440"/>
                      </a:xfrm>
                      <a:prstGeom prst="rect">
                        <a:avLst/>
                      </a:prstGeom>
                      <a:noFill/>
                      <a:ln>
                        <a:noFill/>
                      </a:ln>
                    </wps:spPr>
                    <wps:txbx>
                      <w:txbxContent>
                        <w:p w14:paraId="2EFB3D6C">
                          <w:pPr>
                            <w:rPr>
                              <w:rFonts w:eastAsia="Calibri" w:cs="Calibri"/>
                              <w:color w:val="000000"/>
                              <w:sz w:val="20"/>
                              <w:szCs w:val="20"/>
                            </w:rPr>
                          </w:pPr>
                          <w:r>
                            <w:rPr>
                              <w:rFonts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 o:spid="_x0000_s1026" o:spt="202" alt="Internal" type="#_x0000_t202" style="position:absolute;left:0pt;height:27.2pt;width:51.7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Pw9bl1AAAAAQBAAAPAAAAAAAAAAEAIAAAACIA&#10;AABkcnMvZG93bnJldi54bWxQSwECFAAUAAAACACHTuJAoyPqiEYCAABuBAAADgAAAAAAAAABACAA&#10;AAAjAQAAZHJzL2Uyb0RvYy54bWxQSwUGAAAAAAYABgBZAQAA2wUAAAAA&#10;">
              <v:fill on="f" focussize="0,0"/>
              <v:stroke on="f"/>
              <v:imagedata o:title=""/>
              <o:lock v:ext="edit" aspectratio="f"/>
              <v:textbox inset="20pt,0mm,0mm,15pt" style="mso-fit-shape-to-text:t;">
                <w:txbxContent>
                  <w:p w14:paraId="2EFB3D6C">
                    <w:pPr>
                      <w:rPr>
                        <w:rFonts w:eastAsia="Calibri" w:cs="Calibri"/>
                        <w:color w:val="000000"/>
                        <w:sz w:val="20"/>
                        <w:szCs w:val="20"/>
                      </w:rPr>
                    </w:pPr>
                    <w:r>
                      <w:rPr>
                        <w:rFonts w:eastAsia="Calibri" w:cs="Calibri"/>
                        <w:color w:val="000000"/>
                        <w:sz w:val="20"/>
                        <w:szCs w:val="20"/>
                      </w:rPr>
                      <w:t>Internal</w:t>
                    </w:r>
                  </w:p>
                </w:txbxContent>
              </v:textbox>
            </v:shape>
          </w:pict>
        </mc:Fallback>
      </mc:AlternateConten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4F"/>
    <w:rsid w:val="000622BB"/>
    <w:rsid w:val="00070A93"/>
    <w:rsid w:val="00092446"/>
    <w:rsid w:val="0089244F"/>
    <w:rsid w:val="00926318"/>
    <w:rsid w:val="00BE62A2"/>
    <w:rsid w:val="278440FD"/>
    <w:rsid w:val="3C1A3892"/>
    <w:rsid w:val="43736A6A"/>
    <w:rsid w:val="5026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2"/>
    <w:basedOn w:val="5"/>
    <w:next w:val="6"/>
    <w:unhideWhenUsed/>
    <w:qFormat/>
    <w:uiPriority w:val="9"/>
    <w:pPr>
      <w:adjustRightInd w:val="0"/>
      <w:jc w:val="center"/>
      <w:textAlignment w:val="baseline"/>
      <w:outlineLvl w:val="1"/>
    </w:pPr>
    <w:rPr>
      <w:bCs w:val="0"/>
      <w:sz w:val="24"/>
      <w:szCs w:val="20"/>
    </w:rPr>
  </w:style>
  <w:style w:type="paragraph" w:styleId="5">
    <w:name w:val="heading 3"/>
    <w:basedOn w:val="6"/>
    <w:next w:val="1"/>
    <w:semiHidden/>
    <w:unhideWhenUsed/>
    <w:qFormat/>
    <w:uiPriority w:val="9"/>
    <w:pPr>
      <w:spacing w:before="260" w:after="260" w:line="240" w:lineRule="auto"/>
      <w:outlineLvl w:val="2"/>
    </w:pPr>
    <w:rPr>
      <w:rFonts w:ascii="宋体" w:hAnsi="宋体" w:eastAsia="宋体"/>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Arial" w:hAnsi="Arial" w:eastAsia="黑体"/>
      <w:b/>
      <w:bCs/>
      <w:kern w:val="0"/>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before="49"/>
      <w:ind w:left="120"/>
      <w:jc w:val="left"/>
    </w:pPr>
    <w:rPr>
      <w:rFonts w:ascii="宋体"/>
      <w:kern w:val="0"/>
      <w:sz w:val="18"/>
      <w:szCs w:val="18"/>
    </w:rPr>
  </w:style>
  <w:style w:type="paragraph" w:styleId="3">
    <w:name w:val="Body Text 2"/>
    <w:basedOn w:val="1"/>
    <w:qFormat/>
    <w:uiPriority w:val="0"/>
    <w:pPr>
      <w:spacing w:after="120" w:line="480" w:lineRule="auto"/>
    </w:pPr>
    <w:rPr>
      <w:rFonts w:ascii="楷体_GB2312" w:hAnsi="华文楷体" w:eastAsia="楷体_GB2312" w:cs="Times New Roman"/>
      <w:color w:val="000000"/>
      <w:sz w:val="28"/>
      <w:szCs w:val="28"/>
    </w:rPr>
  </w:style>
  <w:style w:type="paragraph" w:styleId="7">
    <w:name w:val="Normal Indent"/>
    <w:basedOn w:val="1"/>
    <w:next w:val="3"/>
    <w:qFormat/>
    <w:uiPriority w:val="0"/>
    <w:pPr>
      <w:ind w:firstLine="420"/>
    </w:pPr>
    <w:rPr>
      <w:szCs w:val="20"/>
    </w:rPr>
  </w:style>
  <w:style w:type="paragraph" w:styleId="8">
    <w:name w:val="annotation text"/>
    <w:basedOn w:val="1"/>
    <w:link w:val="22"/>
    <w:unhideWhenUsed/>
    <w:qFormat/>
    <w:uiPriority w:val="99"/>
    <w:pPr>
      <w:jc w:val="left"/>
    </w:pPr>
  </w:style>
  <w:style w:type="paragraph" w:styleId="9">
    <w:name w:val="Body Text Indent"/>
    <w:basedOn w:val="1"/>
    <w:next w:val="10"/>
    <w:qFormat/>
    <w:uiPriority w:val="0"/>
    <w:pPr>
      <w:spacing w:after="120"/>
      <w:ind w:left="420" w:leftChars="200"/>
    </w:pPr>
  </w:style>
  <w:style w:type="paragraph" w:customStyle="1" w:styleId="10">
    <w:name w:val="font5"/>
    <w:basedOn w:val="1"/>
    <w:qFormat/>
    <w:uiPriority w:val="99"/>
    <w:pPr>
      <w:widowControl/>
      <w:spacing w:before="100" w:beforeAutospacing="1" w:after="100" w:afterAutospacing="1"/>
      <w:jc w:val="left"/>
    </w:pPr>
    <w:rPr>
      <w:rFonts w:ascii="宋体"/>
      <w:kern w:val="0"/>
      <w:sz w:val="18"/>
      <w:szCs w:val="18"/>
    </w:rPr>
  </w:style>
  <w:style w:type="paragraph" w:styleId="11">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10"/>
    <w:pPr>
      <w:adjustRightInd w:val="0"/>
      <w:jc w:val="center"/>
      <w:textAlignment w:val="baseline"/>
    </w:pPr>
    <w:rPr>
      <w:rFonts w:ascii="Times New Roman" w:hAnsi="Times New Roman" w:eastAsia="黑体"/>
      <w:kern w:val="0"/>
      <w:sz w:val="32"/>
    </w:rPr>
  </w:style>
  <w:style w:type="paragraph" w:styleId="14">
    <w:name w:val="annotation subject"/>
    <w:basedOn w:val="8"/>
    <w:next w:val="8"/>
    <w:link w:val="23"/>
    <w:semiHidden/>
    <w:unhideWhenUsed/>
    <w:qFormat/>
    <w:uiPriority w:val="99"/>
    <w:rPr>
      <w:b/>
      <w:bCs/>
    </w:rPr>
  </w:style>
  <w:style w:type="paragraph" w:styleId="15">
    <w:name w:val="Body Text First Indent 2"/>
    <w:basedOn w:val="9"/>
    <w:next w:val="7"/>
    <w:qFormat/>
    <w:uiPriority w:val="0"/>
    <w:pPr>
      <w:ind w:firstLine="420" w:firstLineChars="200"/>
    </w:pPr>
  </w:style>
  <w:style w:type="character" w:styleId="18">
    <w:name w:val="Strong"/>
    <w:basedOn w:val="17"/>
    <w:qFormat/>
    <w:uiPriority w:val="0"/>
    <w:rPr>
      <w:b/>
    </w:rPr>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2"/>
    <w:qFormat/>
    <w:uiPriority w:val="0"/>
    <w:rPr>
      <w:kern w:val="2"/>
      <w:sz w:val="18"/>
      <w:szCs w:val="18"/>
    </w:rPr>
  </w:style>
  <w:style w:type="character" w:customStyle="1" w:styleId="21">
    <w:name w:val="NormalCharacter"/>
    <w:qFormat/>
    <w:uiPriority w:val="0"/>
  </w:style>
  <w:style w:type="character" w:customStyle="1" w:styleId="22">
    <w:name w:val="批注文字 字符"/>
    <w:basedOn w:val="17"/>
    <w:link w:val="8"/>
    <w:qFormat/>
    <w:uiPriority w:val="99"/>
    <w:rPr>
      <w:rFonts w:ascii="Calibri" w:hAnsi="Calibri" w:cs="宋体"/>
      <w:kern w:val="2"/>
      <w:sz w:val="21"/>
      <w:szCs w:val="22"/>
    </w:rPr>
  </w:style>
  <w:style w:type="character" w:customStyle="1" w:styleId="23">
    <w:name w:val="批注主题 字符"/>
    <w:basedOn w:val="22"/>
    <w:link w:val="14"/>
    <w:semiHidden/>
    <w:qFormat/>
    <w:uiPriority w:val="99"/>
    <w:rPr>
      <w:rFonts w:ascii="Calibri" w:hAnsi="Calibri" w:cs="宋体"/>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3236</Words>
  <Characters>3443</Characters>
  <Lines>25</Lines>
  <Paragraphs>7</Paragraphs>
  <TotalTime>1</TotalTime>
  <ScaleCrop>false</ScaleCrop>
  <LinksUpToDate>false</LinksUpToDate>
  <CharactersWithSpaces>3463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2026-05-11T02:23:00Z</dcterms:created>
  <dc:creator>吴艳君</dc:creator>
  <cp:lastModifiedBy>杨明磊</cp:lastModifiedBy>
  <cp:lastPrinted>2025-10-29T06:46:00Z</cp:lastPrinted>
  <dcterms:modified xsi:type="dcterms:W3CDTF">2026-05-18T02:05:15Z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7011695F1EC7445C9195203E5463AB8A_13</vt:lpwstr>
  </property>
  <property fmtid="{D5CDD505-2E9C-101B-9397-08002B2CF9AE}" pid="4" name="KSOTemplateDocerSaveRecord">
    <vt:lpwstr>eyJoZGlkIjoiZjQxMDI0NGU4OThlNTI3MmYzYWJjYjBmZGUyYzNiYTciLCJ1c2VySWQiOiIxNzY1ODU3NzYxIn0=</vt:lpwstr>
  </property>
  <property fmtid="{D5CDD505-2E9C-101B-9397-08002B2CF9AE}" pid="5" name="ClassificationContentMarkingFooterShapeIds">
    <vt:lpwstr>686df8b9,6d92954c,75594207</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ies>
</file>