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F30BA">
      <w:pPr>
        <w:pStyle w:val="6"/>
        <w:widowControl/>
        <w:shd w:val="clear" w:color="auto" w:fill="FFFFFF"/>
        <w:spacing w:beforeAutospacing="0" w:afterAutospacing="0"/>
        <w:ind w:firstLine="3202" w:firstLineChars="1000"/>
        <w:jc w:val="both"/>
        <w:rPr>
          <w:rFonts w:ascii="微软雅黑" w:hAnsi="微软雅黑" w:eastAsia="微软雅黑" w:cs="微软雅黑"/>
          <w:b/>
          <w:bCs/>
          <w:color w:val="333333"/>
          <w:sz w:val="32"/>
          <w:szCs w:val="32"/>
        </w:rPr>
      </w:pPr>
      <w:r>
        <w:rPr>
          <w:rFonts w:hint="eastAsia" w:ascii="微软雅黑" w:hAnsi="微软雅黑" w:eastAsia="微软雅黑" w:cs="微软雅黑"/>
          <w:b/>
          <w:bCs/>
          <w:color w:val="333333"/>
          <w:sz w:val="32"/>
          <w:szCs w:val="32"/>
        </w:rPr>
        <w:t>E商城反拍需求模板</w:t>
      </w:r>
    </w:p>
    <w:tbl>
      <w:tblPr>
        <w:tblStyle w:val="8"/>
        <w:tblW w:w="0" w:type="auto"/>
        <w:tblInd w:w="-147" w:type="dxa"/>
        <w:tblLayout w:type="fixed"/>
        <w:tblCellMar>
          <w:top w:w="0" w:type="dxa"/>
          <w:left w:w="0" w:type="dxa"/>
          <w:bottom w:w="0" w:type="dxa"/>
          <w:right w:w="0" w:type="dxa"/>
        </w:tblCellMar>
      </w:tblPr>
      <w:tblGrid>
        <w:gridCol w:w="1204"/>
        <w:gridCol w:w="7824"/>
      </w:tblGrid>
      <w:tr w14:paraId="43C6C055">
        <w:tblPrEx>
          <w:tblCellMar>
            <w:top w:w="0" w:type="dxa"/>
            <w:left w:w="0" w:type="dxa"/>
            <w:bottom w:w="0" w:type="dxa"/>
            <w:right w:w="0" w:type="dxa"/>
          </w:tblCellMar>
        </w:tblPrEx>
        <w:trPr>
          <w:trHeight w:val="986" w:hRule="atLeast"/>
        </w:trPr>
        <w:tc>
          <w:tcPr>
            <w:tcW w:w="1204" w:type="dxa"/>
            <w:tcBorders>
              <w:top w:val="single" w:color="000000" w:sz="4" w:space="0"/>
              <w:left w:val="single" w:color="000000" w:sz="4" w:space="0"/>
              <w:bottom w:val="single" w:color="auto" w:sz="4" w:space="0"/>
              <w:right w:val="single" w:color="000000" w:sz="4" w:space="0"/>
            </w:tcBorders>
            <w:noWrap w:val="0"/>
            <w:tcMar>
              <w:left w:w="70" w:type="dxa"/>
              <w:right w:w="70" w:type="dxa"/>
            </w:tcMar>
            <w:vAlign w:val="center"/>
          </w:tcPr>
          <w:p w14:paraId="4C8E5DE6">
            <w:pPr>
              <w:pStyle w:val="6"/>
              <w:widowControl/>
              <w:spacing w:beforeAutospacing="0" w:afterAutospacing="0"/>
              <w:jc w:val="center"/>
              <w:rPr>
                <w:color w:val="000000"/>
                <w:sz w:val="21"/>
                <w:szCs w:val="21"/>
              </w:rPr>
            </w:pPr>
            <w:r>
              <w:rPr>
                <w:rStyle w:val="10"/>
                <w:rFonts w:hint="eastAsia" w:ascii="宋体" w:hAnsi="宋体" w:cs="宋体"/>
                <w:bCs/>
                <w:color w:val="000000"/>
                <w:sz w:val="21"/>
                <w:szCs w:val="21"/>
              </w:rPr>
              <w:t>供应商资格要求</w:t>
            </w:r>
          </w:p>
        </w:tc>
        <w:tc>
          <w:tcPr>
            <w:tcW w:w="7824" w:type="dxa"/>
            <w:tcBorders>
              <w:top w:val="single" w:color="000000" w:sz="4" w:space="0"/>
              <w:left w:val="nil"/>
              <w:bottom w:val="single" w:color="auto" w:sz="4" w:space="0"/>
              <w:right w:val="single" w:color="000000" w:sz="4" w:space="0"/>
            </w:tcBorders>
            <w:noWrap w:val="0"/>
            <w:tcMar>
              <w:left w:w="70" w:type="dxa"/>
              <w:right w:w="70" w:type="dxa"/>
            </w:tcMar>
            <w:vAlign w:val="top"/>
          </w:tcPr>
          <w:p w14:paraId="2C0B9D45">
            <w:pPr>
              <w:pStyle w:val="6"/>
              <w:widowControl/>
              <w:spacing w:beforeAutospacing="0" w:afterAutospacing="0"/>
              <w:rPr>
                <w:color w:val="000000"/>
                <w:sz w:val="21"/>
                <w:szCs w:val="21"/>
              </w:rPr>
            </w:pPr>
          </w:p>
          <w:p w14:paraId="5A0536A6">
            <w:pPr>
              <w:pStyle w:val="6"/>
              <w:widowControl/>
              <w:spacing w:beforeAutospacing="0" w:afterAutospacing="0"/>
              <w:rPr>
                <w:color w:val="000000"/>
                <w:sz w:val="21"/>
                <w:szCs w:val="21"/>
              </w:rPr>
            </w:pPr>
            <w:r>
              <w:rPr>
                <w:rStyle w:val="10"/>
                <w:rFonts w:hint="eastAsia" w:ascii="宋体" w:hAnsi="宋体" w:cs="宋体"/>
                <w:bCs/>
                <w:color w:val="000000"/>
                <w:sz w:val="21"/>
                <w:szCs w:val="21"/>
              </w:rPr>
              <w:t>采购人不用制定。</w:t>
            </w:r>
          </w:p>
        </w:tc>
      </w:tr>
      <w:tr w14:paraId="150C5391">
        <w:tblPrEx>
          <w:tblCellMar>
            <w:top w:w="0" w:type="dxa"/>
            <w:left w:w="0" w:type="dxa"/>
            <w:bottom w:w="0" w:type="dxa"/>
            <w:right w:w="0" w:type="dxa"/>
          </w:tblCellMar>
        </w:tblPrEx>
        <w:trPr>
          <w:trHeight w:val="786" w:hRule="atLeast"/>
        </w:trPr>
        <w:tc>
          <w:tcPr>
            <w:tcW w:w="12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center"/>
          </w:tcPr>
          <w:p w14:paraId="433834D1">
            <w:pPr>
              <w:pStyle w:val="6"/>
              <w:widowControl/>
              <w:spacing w:beforeAutospacing="0" w:afterAutospacing="0"/>
              <w:jc w:val="center"/>
              <w:rPr>
                <w:sz w:val="21"/>
                <w:szCs w:val="21"/>
              </w:rPr>
            </w:pPr>
            <w:r>
              <w:rPr>
                <w:rStyle w:val="10"/>
                <w:rFonts w:hint="eastAsia" w:ascii="宋体" w:hAnsi="宋体" w:cs="宋体"/>
                <w:bCs/>
                <w:sz w:val="21"/>
                <w:szCs w:val="21"/>
              </w:rPr>
              <w:t>报价要求</w:t>
            </w:r>
          </w:p>
        </w:tc>
        <w:tc>
          <w:tcPr>
            <w:tcW w:w="782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4A26CA31">
            <w:pPr>
              <w:pStyle w:val="6"/>
              <w:widowControl/>
              <w:spacing w:beforeAutospacing="0" w:afterAutospacing="0"/>
              <w:rPr>
                <w:sz w:val="21"/>
                <w:szCs w:val="21"/>
              </w:rPr>
            </w:pPr>
            <w:r>
              <w:rPr>
                <w:rFonts w:hint="eastAsia" w:ascii="宋体" w:hAnsi="宋体" w:cs="宋体"/>
                <w:sz w:val="21"/>
                <w:szCs w:val="21"/>
              </w:rPr>
              <w:t>报价必须是完成该项目的一切费用总和，包括设备费、运输费、装卸费、保险费、技术培训费、调试费、售后服务费、国家规定的各项税费等全部费用。</w:t>
            </w:r>
          </w:p>
        </w:tc>
      </w:tr>
      <w:tr w14:paraId="571F191A">
        <w:tblPrEx>
          <w:tblCellMar>
            <w:top w:w="0" w:type="dxa"/>
            <w:left w:w="0" w:type="dxa"/>
            <w:bottom w:w="0" w:type="dxa"/>
            <w:right w:w="0" w:type="dxa"/>
          </w:tblCellMar>
        </w:tblPrEx>
        <w:trPr>
          <w:trHeight w:val="1180" w:hRule="atLeast"/>
        </w:trPr>
        <w:tc>
          <w:tcPr>
            <w:tcW w:w="12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148D5E1D">
            <w:pPr>
              <w:pStyle w:val="6"/>
              <w:widowControl/>
              <w:spacing w:beforeAutospacing="0" w:afterAutospacing="0"/>
              <w:jc w:val="center"/>
              <w:rPr>
                <w:sz w:val="21"/>
                <w:szCs w:val="21"/>
              </w:rPr>
            </w:pPr>
            <w:r>
              <w:rPr>
                <w:rStyle w:val="10"/>
                <w:rFonts w:hint="eastAsia" w:ascii="宋体" w:hAnsi="宋体" w:cs="宋体"/>
                <w:bCs/>
                <w:sz w:val="21"/>
                <w:szCs w:val="21"/>
              </w:rPr>
              <w:t>采购清单</w:t>
            </w:r>
          </w:p>
        </w:tc>
        <w:tc>
          <w:tcPr>
            <w:tcW w:w="782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60F100E6">
            <w:pPr>
              <w:pStyle w:val="6"/>
              <w:widowControl/>
              <w:spacing w:beforeAutospacing="0" w:afterAutospacing="0"/>
              <w:rPr>
                <w:rStyle w:val="10"/>
                <w:rFonts w:ascii="宋体" w:hAnsi="宋体" w:cs="宋体"/>
                <w:bCs/>
                <w:color w:val="0000FF"/>
                <w:sz w:val="21"/>
                <w:szCs w:val="21"/>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36"/>
              <w:gridCol w:w="1231"/>
              <w:gridCol w:w="1243"/>
              <w:gridCol w:w="930"/>
              <w:gridCol w:w="1088"/>
              <w:gridCol w:w="1146"/>
            </w:tblGrid>
            <w:tr w14:paraId="72FB0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noWrap w:val="0"/>
                  <w:vAlign w:val="center"/>
                </w:tcPr>
                <w:p w14:paraId="09008B92">
                  <w:pPr>
                    <w:pStyle w:val="6"/>
                    <w:widowControl/>
                    <w:spacing w:beforeAutospacing="0" w:afterAutospacing="0"/>
                    <w:jc w:val="center"/>
                    <w:rPr>
                      <w:rFonts w:ascii="宋体" w:hAnsi="宋体" w:cs="宋体"/>
                      <w:sz w:val="21"/>
                      <w:szCs w:val="21"/>
                    </w:rPr>
                  </w:pPr>
                  <w:r>
                    <w:rPr>
                      <w:rFonts w:ascii="宋体" w:hAnsi="宋体" w:cs="宋体"/>
                      <w:sz w:val="21"/>
                      <w:szCs w:val="21"/>
                    </w:rPr>
                    <w:t>序号</w:t>
                  </w:r>
                </w:p>
              </w:tc>
              <w:tc>
                <w:tcPr>
                  <w:tcW w:w="1236" w:type="dxa"/>
                  <w:noWrap w:val="0"/>
                  <w:vAlign w:val="center"/>
                </w:tcPr>
                <w:p w14:paraId="66C04BDA">
                  <w:pPr>
                    <w:pStyle w:val="6"/>
                    <w:widowControl/>
                    <w:spacing w:beforeAutospacing="0" w:afterAutospacing="0"/>
                    <w:jc w:val="center"/>
                    <w:rPr>
                      <w:rFonts w:ascii="宋体" w:hAnsi="宋体" w:cs="宋体"/>
                      <w:sz w:val="21"/>
                      <w:szCs w:val="21"/>
                    </w:rPr>
                  </w:pPr>
                  <w:r>
                    <w:rPr>
                      <w:rFonts w:ascii="宋体" w:hAnsi="宋体" w:cs="宋体"/>
                      <w:sz w:val="21"/>
                      <w:szCs w:val="21"/>
                    </w:rPr>
                    <w:t>产品名称</w:t>
                  </w:r>
                </w:p>
              </w:tc>
              <w:tc>
                <w:tcPr>
                  <w:tcW w:w="1231" w:type="dxa"/>
                  <w:noWrap w:val="0"/>
                  <w:vAlign w:val="center"/>
                </w:tcPr>
                <w:p w14:paraId="1CC37276">
                  <w:pPr>
                    <w:pStyle w:val="6"/>
                    <w:widowControl/>
                    <w:spacing w:beforeAutospacing="0" w:afterAutospacing="0"/>
                    <w:jc w:val="center"/>
                    <w:rPr>
                      <w:rFonts w:hint="eastAsia" w:ascii="宋体" w:hAnsi="宋体" w:cs="宋体"/>
                      <w:sz w:val="21"/>
                      <w:szCs w:val="21"/>
                    </w:rPr>
                  </w:pPr>
                  <w:r>
                    <w:rPr>
                      <w:rFonts w:hint="eastAsia" w:ascii="宋体" w:hAnsi="宋体" w:cs="宋体"/>
                      <w:sz w:val="21"/>
                      <w:szCs w:val="21"/>
                    </w:rPr>
                    <w:t>意向</w:t>
                  </w:r>
                  <w:r>
                    <w:rPr>
                      <w:rFonts w:ascii="宋体" w:hAnsi="宋体" w:cs="宋体"/>
                      <w:sz w:val="21"/>
                      <w:szCs w:val="21"/>
                    </w:rPr>
                    <w:t>品牌</w:t>
                  </w:r>
                  <w:r>
                    <w:rPr>
                      <w:rFonts w:hint="eastAsia" w:ascii="宋体" w:hAnsi="宋体" w:cs="宋体"/>
                      <w:sz w:val="21"/>
                      <w:szCs w:val="21"/>
                    </w:rPr>
                    <w:t>型号</w:t>
                  </w:r>
                </w:p>
              </w:tc>
              <w:tc>
                <w:tcPr>
                  <w:tcW w:w="1243" w:type="dxa"/>
                  <w:noWrap w:val="0"/>
                  <w:vAlign w:val="center"/>
                </w:tcPr>
                <w:p w14:paraId="7FACF2A2">
                  <w:pPr>
                    <w:pStyle w:val="6"/>
                    <w:widowControl/>
                    <w:spacing w:beforeAutospacing="0" w:afterAutospacing="0"/>
                    <w:jc w:val="center"/>
                    <w:rPr>
                      <w:rFonts w:ascii="宋体" w:hAnsi="宋体" w:cs="宋体"/>
                      <w:sz w:val="21"/>
                      <w:szCs w:val="21"/>
                    </w:rPr>
                  </w:pPr>
                  <w:r>
                    <w:rPr>
                      <w:rFonts w:ascii="宋体" w:hAnsi="宋体" w:cs="宋体"/>
                      <w:sz w:val="21"/>
                      <w:szCs w:val="21"/>
                    </w:rPr>
                    <w:t>控制单价（元）</w:t>
                  </w:r>
                </w:p>
              </w:tc>
              <w:tc>
                <w:tcPr>
                  <w:tcW w:w="930" w:type="dxa"/>
                  <w:noWrap w:val="0"/>
                  <w:vAlign w:val="center"/>
                </w:tcPr>
                <w:p w14:paraId="064BAC84">
                  <w:pPr>
                    <w:pStyle w:val="6"/>
                    <w:widowControl/>
                    <w:spacing w:beforeAutospacing="0" w:afterAutospacing="0"/>
                    <w:jc w:val="center"/>
                    <w:rPr>
                      <w:rFonts w:ascii="宋体" w:hAnsi="宋体" w:cs="宋体"/>
                      <w:sz w:val="21"/>
                      <w:szCs w:val="21"/>
                    </w:rPr>
                  </w:pPr>
                  <w:r>
                    <w:rPr>
                      <w:rFonts w:ascii="宋体" w:hAnsi="宋体" w:cs="宋体"/>
                      <w:sz w:val="21"/>
                      <w:szCs w:val="21"/>
                    </w:rPr>
                    <w:t>数量</w:t>
                  </w:r>
                </w:p>
              </w:tc>
              <w:tc>
                <w:tcPr>
                  <w:tcW w:w="1088" w:type="dxa"/>
                  <w:noWrap w:val="0"/>
                  <w:vAlign w:val="center"/>
                </w:tcPr>
                <w:p w14:paraId="6335D1DF">
                  <w:pPr>
                    <w:pStyle w:val="6"/>
                    <w:widowControl/>
                    <w:spacing w:beforeAutospacing="0" w:afterAutospacing="0"/>
                    <w:jc w:val="center"/>
                    <w:rPr>
                      <w:rFonts w:ascii="宋体" w:hAnsi="宋体" w:cs="宋体"/>
                      <w:sz w:val="21"/>
                      <w:szCs w:val="21"/>
                    </w:rPr>
                  </w:pPr>
                  <w:r>
                    <w:rPr>
                      <w:rFonts w:ascii="宋体" w:hAnsi="宋体" w:cs="宋体"/>
                      <w:sz w:val="21"/>
                      <w:szCs w:val="21"/>
                    </w:rPr>
                    <w:t>计量单位</w:t>
                  </w:r>
                </w:p>
              </w:tc>
              <w:tc>
                <w:tcPr>
                  <w:tcW w:w="1146" w:type="dxa"/>
                  <w:noWrap w:val="0"/>
                  <w:vAlign w:val="center"/>
                </w:tcPr>
                <w:p w14:paraId="08964C5C">
                  <w:pPr>
                    <w:pStyle w:val="6"/>
                    <w:widowControl/>
                    <w:spacing w:beforeAutospacing="0" w:afterAutospacing="0"/>
                    <w:jc w:val="center"/>
                    <w:rPr>
                      <w:rFonts w:ascii="宋体" w:hAnsi="宋体" w:cs="宋体"/>
                      <w:sz w:val="21"/>
                      <w:szCs w:val="21"/>
                    </w:rPr>
                  </w:pPr>
                  <w:r>
                    <w:rPr>
                      <w:rFonts w:ascii="宋体" w:hAnsi="宋体" w:cs="宋体"/>
                      <w:sz w:val="21"/>
                      <w:szCs w:val="21"/>
                    </w:rPr>
                    <w:t>总预算金额（元）</w:t>
                  </w:r>
                </w:p>
              </w:tc>
            </w:tr>
            <w:tr w14:paraId="473C9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5" w:type="dxa"/>
                  <w:noWrap w:val="0"/>
                  <w:vAlign w:val="center"/>
                </w:tcPr>
                <w:p w14:paraId="2D346AE8">
                  <w:pPr>
                    <w:pStyle w:val="6"/>
                    <w:widowControl/>
                    <w:spacing w:beforeAutospacing="0" w:afterAutospacing="0"/>
                    <w:jc w:val="center"/>
                    <w:rPr>
                      <w:rFonts w:ascii="宋体" w:hAnsi="宋体" w:cs="宋体"/>
                      <w:sz w:val="21"/>
                      <w:szCs w:val="21"/>
                    </w:rPr>
                  </w:pPr>
                  <w:r>
                    <w:rPr>
                      <w:rFonts w:ascii="宋体" w:hAnsi="宋体" w:cs="宋体"/>
                      <w:sz w:val="21"/>
                      <w:szCs w:val="21"/>
                    </w:rPr>
                    <w:t>1</w:t>
                  </w:r>
                </w:p>
              </w:tc>
              <w:tc>
                <w:tcPr>
                  <w:tcW w:w="1236" w:type="dxa"/>
                  <w:noWrap w:val="0"/>
                  <w:vAlign w:val="center"/>
                </w:tcPr>
                <w:p w14:paraId="1F4D01E4">
                  <w:pPr>
                    <w:pStyle w:val="6"/>
                    <w:widowControl/>
                    <w:spacing w:beforeAutospacing="0" w:afterAutospacing="0"/>
                    <w:jc w:val="center"/>
                    <w:rPr>
                      <w:rFonts w:ascii="宋体" w:hAnsi="宋体" w:cs="宋体"/>
                      <w:sz w:val="21"/>
                      <w:szCs w:val="21"/>
                    </w:rPr>
                  </w:pPr>
                  <w:r>
                    <w:rPr>
                      <w:rFonts w:hint="eastAsia" w:ascii="宋体" w:hAnsi="宋体" w:cs="宋体"/>
                      <w:sz w:val="21"/>
                      <w:szCs w:val="21"/>
                    </w:rPr>
                    <w:t>98寸会议平板</w:t>
                  </w:r>
                </w:p>
              </w:tc>
              <w:tc>
                <w:tcPr>
                  <w:tcW w:w="1231" w:type="dxa"/>
                  <w:noWrap w:val="0"/>
                  <w:vAlign w:val="center"/>
                </w:tcPr>
                <w:p w14:paraId="29D86156">
                  <w:pPr>
                    <w:widowControl/>
                    <w:jc w:val="left"/>
                    <w:textAlignment w:val="center"/>
                    <w:rPr>
                      <w:rFonts w:ascii="宋体" w:hAnsi="宋体" w:cs="宋体"/>
                      <w:szCs w:val="21"/>
                    </w:rPr>
                  </w:pPr>
                  <w:r>
                    <w:rPr>
                      <w:rFonts w:hint="eastAsia"/>
                    </w:rPr>
                    <w:t>创维MC9818</w:t>
                  </w:r>
                </w:p>
              </w:tc>
              <w:tc>
                <w:tcPr>
                  <w:tcW w:w="1243" w:type="dxa"/>
                  <w:noWrap w:val="0"/>
                  <w:vAlign w:val="center"/>
                </w:tcPr>
                <w:p w14:paraId="1388150D">
                  <w:pPr>
                    <w:pStyle w:val="6"/>
                    <w:widowControl/>
                    <w:spacing w:beforeAutospacing="0" w:afterAutospacing="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32500</w:t>
                  </w:r>
                </w:p>
              </w:tc>
              <w:tc>
                <w:tcPr>
                  <w:tcW w:w="930" w:type="dxa"/>
                  <w:noWrap w:val="0"/>
                  <w:vAlign w:val="center"/>
                </w:tcPr>
                <w:p w14:paraId="224B0702">
                  <w:pPr>
                    <w:pStyle w:val="6"/>
                    <w:widowControl/>
                    <w:spacing w:beforeAutospacing="0" w:afterAutospacing="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1088" w:type="dxa"/>
                  <w:noWrap w:val="0"/>
                  <w:vAlign w:val="center"/>
                </w:tcPr>
                <w:p w14:paraId="3EA21767">
                  <w:pPr>
                    <w:pStyle w:val="6"/>
                    <w:widowControl/>
                    <w:spacing w:beforeAutospacing="0" w:afterAutospacing="0"/>
                    <w:jc w:val="center"/>
                    <w:rPr>
                      <w:rFonts w:ascii="宋体" w:hAnsi="宋体" w:cs="宋体"/>
                      <w:color w:val="000000"/>
                      <w:sz w:val="21"/>
                      <w:szCs w:val="21"/>
                    </w:rPr>
                  </w:pPr>
                  <w:r>
                    <w:rPr>
                      <w:rFonts w:hint="eastAsia" w:ascii="宋体" w:hAnsi="宋体" w:cs="宋体"/>
                      <w:color w:val="000000"/>
                      <w:sz w:val="21"/>
                      <w:szCs w:val="21"/>
                    </w:rPr>
                    <w:t>台</w:t>
                  </w:r>
                </w:p>
              </w:tc>
              <w:tc>
                <w:tcPr>
                  <w:tcW w:w="1146" w:type="dxa"/>
                  <w:noWrap w:val="0"/>
                  <w:vAlign w:val="center"/>
                </w:tcPr>
                <w:p w14:paraId="66071A42">
                  <w:pPr>
                    <w:pStyle w:val="6"/>
                    <w:widowControl/>
                    <w:spacing w:beforeAutospacing="0" w:afterAutospacing="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195000</w:t>
                  </w:r>
                </w:p>
              </w:tc>
            </w:tr>
          </w:tbl>
          <w:p w14:paraId="1386356F">
            <w:pPr>
              <w:pStyle w:val="6"/>
              <w:widowControl/>
              <w:spacing w:beforeAutospacing="0" w:afterAutospacing="0"/>
              <w:rPr>
                <w:sz w:val="21"/>
                <w:szCs w:val="21"/>
              </w:rPr>
            </w:pPr>
            <w:r>
              <w:rPr>
                <w:rStyle w:val="10"/>
                <w:rFonts w:hint="eastAsia" w:ascii="宋体" w:hAnsi="宋体" w:cs="宋体"/>
                <w:bCs/>
                <w:color w:val="0000FF"/>
                <w:sz w:val="21"/>
                <w:szCs w:val="21"/>
              </w:rPr>
              <w:t>注：指定1</w:t>
            </w:r>
            <w:r>
              <w:rPr>
                <w:rStyle w:val="10"/>
                <w:rFonts w:ascii="宋体" w:hAnsi="宋体" w:cs="宋体"/>
                <w:bCs/>
                <w:color w:val="0000FF"/>
                <w:sz w:val="21"/>
                <w:szCs w:val="21"/>
              </w:rPr>
              <w:t>个品牌</w:t>
            </w:r>
            <w:r>
              <w:rPr>
                <w:rStyle w:val="10"/>
                <w:rFonts w:hint="eastAsia" w:ascii="宋体" w:hAnsi="宋体" w:cs="宋体"/>
                <w:bCs/>
                <w:color w:val="0000FF"/>
                <w:sz w:val="21"/>
                <w:szCs w:val="21"/>
              </w:rPr>
              <w:t>型号进行反拍</w:t>
            </w:r>
          </w:p>
        </w:tc>
      </w:tr>
      <w:tr w14:paraId="531D02AC">
        <w:tblPrEx>
          <w:tblCellMar>
            <w:top w:w="0" w:type="dxa"/>
            <w:left w:w="0" w:type="dxa"/>
            <w:bottom w:w="0" w:type="dxa"/>
            <w:right w:w="0" w:type="dxa"/>
          </w:tblCellMar>
        </w:tblPrEx>
        <w:trPr>
          <w:trHeight w:val="1760" w:hRule="atLeast"/>
        </w:trPr>
        <w:tc>
          <w:tcPr>
            <w:tcW w:w="12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6A64FE2D">
            <w:pPr>
              <w:pStyle w:val="6"/>
              <w:widowControl/>
              <w:spacing w:beforeAutospacing="0" w:afterAutospacing="0"/>
              <w:jc w:val="center"/>
              <w:rPr>
                <w:sz w:val="21"/>
                <w:szCs w:val="21"/>
              </w:rPr>
            </w:pPr>
            <w:r>
              <w:rPr>
                <w:rStyle w:val="10"/>
                <w:rFonts w:hint="eastAsia" w:ascii="宋体" w:hAnsi="宋体" w:cs="宋体"/>
                <w:bCs/>
                <w:sz w:val="21"/>
                <w:szCs w:val="21"/>
              </w:rPr>
              <w:t>技术要求</w:t>
            </w:r>
          </w:p>
        </w:tc>
        <w:tc>
          <w:tcPr>
            <w:tcW w:w="782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629825A7">
            <w:pPr>
              <w:pStyle w:val="6"/>
              <w:widowControl/>
              <w:spacing w:beforeAutospacing="0" w:afterAutospacing="0"/>
              <w:rPr>
                <w:sz w:val="21"/>
                <w:szCs w:val="21"/>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
              <w:gridCol w:w="1432"/>
              <w:gridCol w:w="5324"/>
            </w:tblGrid>
            <w:tr w14:paraId="56A60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6" w:type="dxa"/>
                  <w:noWrap w:val="0"/>
                  <w:vAlign w:val="center"/>
                </w:tcPr>
                <w:p w14:paraId="553B88D8">
                  <w:pPr>
                    <w:pStyle w:val="6"/>
                    <w:widowControl/>
                    <w:spacing w:beforeAutospacing="0" w:afterAutospacing="0"/>
                    <w:jc w:val="center"/>
                    <w:rPr>
                      <w:rFonts w:ascii="宋体" w:hAnsi="宋体" w:cs="宋体"/>
                      <w:sz w:val="21"/>
                      <w:szCs w:val="21"/>
                    </w:rPr>
                  </w:pPr>
                  <w:r>
                    <w:rPr>
                      <w:rFonts w:ascii="宋体" w:hAnsi="宋体" w:cs="宋体"/>
                      <w:sz w:val="21"/>
                      <w:szCs w:val="21"/>
                    </w:rPr>
                    <w:t>序号</w:t>
                  </w:r>
                </w:p>
              </w:tc>
              <w:tc>
                <w:tcPr>
                  <w:tcW w:w="1432" w:type="dxa"/>
                  <w:noWrap w:val="0"/>
                  <w:vAlign w:val="center"/>
                </w:tcPr>
                <w:p w14:paraId="2FB7AD42">
                  <w:pPr>
                    <w:pStyle w:val="6"/>
                    <w:widowControl/>
                    <w:spacing w:beforeAutospacing="0" w:afterAutospacing="0"/>
                    <w:jc w:val="center"/>
                    <w:rPr>
                      <w:rFonts w:ascii="宋体" w:hAnsi="宋体" w:cs="宋体"/>
                      <w:sz w:val="21"/>
                      <w:szCs w:val="21"/>
                    </w:rPr>
                  </w:pPr>
                  <w:r>
                    <w:rPr>
                      <w:rFonts w:ascii="宋体" w:hAnsi="宋体" w:cs="宋体"/>
                      <w:sz w:val="21"/>
                      <w:szCs w:val="21"/>
                    </w:rPr>
                    <w:t>货物名称</w:t>
                  </w:r>
                </w:p>
              </w:tc>
              <w:tc>
                <w:tcPr>
                  <w:tcW w:w="5324" w:type="dxa"/>
                  <w:noWrap w:val="0"/>
                  <w:vAlign w:val="center"/>
                </w:tcPr>
                <w:p w14:paraId="214D1DD6">
                  <w:pPr>
                    <w:widowControl/>
                    <w:jc w:val="center"/>
                    <w:rPr>
                      <w:rFonts w:ascii="宋体" w:hAnsi="宋体" w:cs="宋体"/>
                      <w:kern w:val="0"/>
                      <w:szCs w:val="21"/>
                    </w:rPr>
                  </w:pPr>
                  <w:r>
                    <w:rPr>
                      <w:rFonts w:ascii="宋体" w:hAnsi="宋体" w:cs="宋体"/>
                      <w:kern w:val="0"/>
                      <w:szCs w:val="21"/>
                    </w:rPr>
                    <w:t>技术参数和规格</w:t>
                  </w:r>
                </w:p>
              </w:tc>
            </w:tr>
            <w:tr w14:paraId="04BA7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916" w:type="dxa"/>
                  <w:noWrap w:val="0"/>
                  <w:vAlign w:val="center"/>
                </w:tcPr>
                <w:p w14:paraId="104F00BB">
                  <w:pPr>
                    <w:pStyle w:val="6"/>
                    <w:widowControl/>
                    <w:spacing w:beforeAutospacing="0" w:afterAutospacing="0"/>
                    <w:jc w:val="center"/>
                    <w:rPr>
                      <w:rFonts w:hint="eastAsia" w:ascii="宋体" w:hAnsi="宋体" w:cs="宋体"/>
                      <w:sz w:val="21"/>
                      <w:szCs w:val="21"/>
                    </w:rPr>
                  </w:pPr>
                  <w:r>
                    <w:rPr>
                      <w:rFonts w:hint="eastAsia" w:ascii="宋体" w:hAnsi="宋体" w:cs="宋体"/>
                      <w:sz w:val="21"/>
                      <w:szCs w:val="21"/>
                    </w:rPr>
                    <w:t>1</w:t>
                  </w:r>
                </w:p>
              </w:tc>
              <w:tc>
                <w:tcPr>
                  <w:tcW w:w="1432" w:type="dxa"/>
                  <w:noWrap w:val="0"/>
                  <w:vAlign w:val="center"/>
                </w:tcPr>
                <w:p w14:paraId="7DDB1FB4">
                  <w:pPr>
                    <w:widowControl/>
                    <w:jc w:val="center"/>
                    <w:textAlignment w:val="center"/>
                    <w:rPr>
                      <w:rFonts w:ascii="宋体" w:hAnsi="宋体" w:cs="宋体"/>
                      <w:szCs w:val="21"/>
                    </w:rPr>
                  </w:pPr>
                  <w:r>
                    <w:rPr>
                      <w:rFonts w:hint="eastAsia" w:ascii="宋体" w:hAnsi="宋体" w:cs="宋体"/>
                      <w:sz w:val="21"/>
                      <w:szCs w:val="21"/>
                    </w:rPr>
                    <w:t>98寸会议平板</w:t>
                  </w:r>
                </w:p>
              </w:tc>
              <w:tc>
                <w:tcPr>
                  <w:tcW w:w="5324" w:type="dxa"/>
                  <w:noWrap w:val="0"/>
                  <w:vAlign w:val="center"/>
                </w:tcPr>
                <w:p w14:paraId="07F948AE">
                  <w:pPr>
                    <w:adjustRightInd w:val="0"/>
                    <w:snapToGrid w:val="0"/>
                    <w:spacing w:line="240" w:lineRule="atLeast"/>
                    <w:rPr>
                      <w:rFonts w:hint="eastAsia" w:ascii="仿宋_GB2312" w:eastAsia="仿宋_GB2312"/>
                    </w:rPr>
                  </w:pPr>
                </w:p>
                <w:p w14:paraId="507E29D2">
                  <w:pPr>
                    <w:widowControl/>
                    <w:jc w:val="left"/>
                    <w:textAlignment w:val="center"/>
                    <w:rPr>
                      <w:rFonts w:hint="eastAsia" w:ascii="仿宋_GB2312" w:eastAsia="仿宋_GB2312"/>
                    </w:rPr>
                  </w:pPr>
                  <w:r>
                    <w:rPr>
                      <w:rFonts w:hint="eastAsia" w:ascii="仿宋_GB2312" w:eastAsia="仿宋_GB2312"/>
                    </w:rPr>
                    <w:t>一、硬件参数：</w:t>
                  </w:r>
                </w:p>
                <w:p w14:paraId="1E19ACAC">
                  <w:pPr>
                    <w:widowControl/>
                    <w:jc w:val="left"/>
                    <w:textAlignment w:val="center"/>
                    <w:rPr>
                      <w:rFonts w:hint="eastAsia" w:ascii="仿宋_GB2312" w:eastAsia="仿宋_GB2312"/>
                    </w:rPr>
                  </w:pPr>
                  <w:r>
                    <w:rPr>
                      <w:rFonts w:hint="eastAsia" w:ascii="仿宋_GB2312" w:eastAsia="仿宋_GB2312"/>
                    </w:rPr>
                    <w:t>1.屏幕显示尺寸≥98寸，液晶显示屏幕采用A规液晶面板。</w:t>
                  </w:r>
                </w:p>
                <w:p w14:paraId="1A82335B">
                  <w:pPr>
                    <w:widowControl/>
                    <w:jc w:val="left"/>
                    <w:textAlignment w:val="center"/>
                    <w:rPr>
                      <w:rFonts w:hint="eastAsia" w:ascii="仿宋_GB2312" w:eastAsia="仿宋_GB2312"/>
                    </w:rPr>
                  </w:pPr>
                  <w:r>
                    <w:rPr>
                      <w:rFonts w:hint="eastAsia" w:ascii="仿宋_GB2312" w:eastAsia="仿宋_GB2312"/>
                    </w:rPr>
                    <w:t>2.显示比例16:9，可视角度≥178°。</w:t>
                  </w:r>
                </w:p>
                <w:p w14:paraId="3E4CD6DB">
                  <w:pPr>
                    <w:widowControl/>
                    <w:jc w:val="left"/>
                    <w:textAlignment w:val="center"/>
                    <w:rPr>
                      <w:rFonts w:hint="eastAsia" w:ascii="仿宋_GB2312" w:eastAsia="仿宋_GB2312"/>
                    </w:rPr>
                  </w:pPr>
                  <w:r>
                    <w:rPr>
                      <w:rFonts w:hint="eastAsia" w:ascii="仿宋_GB2312" w:eastAsia="仿宋_GB2312"/>
                    </w:rPr>
                    <w:t>3.亮度≥350cd/㎡，动态对比度≥1200：1，支持彩色制式:自动PAL/NTSC等制式。</w:t>
                  </w:r>
                </w:p>
                <w:p w14:paraId="3DAF3145">
                  <w:pPr>
                    <w:widowControl/>
                    <w:jc w:val="left"/>
                    <w:textAlignment w:val="center"/>
                    <w:rPr>
                      <w:rFonts w:hint="eastAsia" w:ascii="仿宋_GB2312" w:eastAsia="仿宋_GB2312"/>
                    </w:rPr>
                  </w:pPr>
                  <w:r>
                    <w:rPr>
                      <w:rFonts w:hint="eastAsia" w:ascii="仿宋_GB2312" w:eastAsia="仿宋_GB2312"/>
                    </w:rPr>
                    <w:t>4.内置安卓嵌入式</w:t>
                  </w:r>
                  <w:bookmarkStart w:id="0" w:name="_GoBack"/>
                  <w:bookmarkEnd w:id="0"/>
                  <w:r>
                    <w:rPr>
                      <w:rFonts w:hint="eastAsia" w:ascii="仿宋_GB2312" w:eastAsia="仿宋_GB2312"/>
                    </w:rPr>
                    <w:t>系统</w:t>
                  </w:r>
                </w:p>
                <w:p w14:paraId="69AE5D8E">
                  <w:pPr>
                    <w:widowControl/>
                    <w:jc w:val="left"/>
                    <w:textAlignment w:val="center"/>
                    <w:rPr>
                      <w:rFonts w:hint="eastAsia" w:ascii="仿宋_GB2312" w:eastAsia="仿宋_GB2312"/>
                    </w:rPr>
                  </w:pPr>
                  <w:r>
                    <w:rPr>
                      <w:rFonts w:hint="eastAsia" w:ascii="仿宋_GB2312" w:eastAsia="仿宋_GB2312"/>
                    </w:rPr>
                    <w:t>5.机身内存≥32G ROM，运行内存≥4G RAM。</w:t>
                  </w:r>
                </w:p>
                <w:p w14:paraId="58A76DC9">
                  <w:pPr>
                    <w:widowControl/>
                    <w:jc w:val="left"/>
                    <w:textAlignment w:val="center"/>
                    <w:rPr>
                      <w:rFonts w:hint="eastAsia" w:ascii="仿宋_GB2312" w:eastAsia="仿宋_GB2312"/>
                    </w:rPr>
                  </w:pPr>
                  <w:r>
                    <w:rPr>
                      <w:rFonts w:hint="eastAsia" w:ascii="仿宋_GB2312" w:eastAsia="仿宋_GB2312"/>
                    </w:rPr>
                    <w:t>6.图像分辨率3840*2160，支持UHD超高清视频的播放，显示比例支持4:3,16:9,满足不同宽高比文件的演示和输入视频源的显示需要。</w:t>
                  </w:r>
                </w:p>
                <w:p w14:paraId="4767C0E0">
                  <w:pPr>
                    <w:widowControl/>
                    <w:jc w:val="left"/>
                    <w:textAlignment w:val="center"/>
                    <w:rPr>
                      <w:rFonts w:hint="eastAsia" w:ascii="仿宋_GB2312" w:eastAsia="仿宋_GB2312"/>
                    </w:rPr>
                  </w:pPr>
                  <w:r>
                    <w:rPr>
                      <w:rFonts w:hint="eastAsia" w:ascii="仿宋_GB2312" w:eastAsia="仿宋_GB2312"/>
                    </w:rPr>
                    <w:t>7.色域覆盖率≥72% NTSC。</w:t>
                  </w:r>
                </w:p>
                <w:p w14:paraId="22D81861">
                  <w:pPr>
                    <w:widowControl/>
                    <w:jc w:val="left"/>
                    <w:textAlignment w:val="center"/>
                    <w:rPr>
                      <w:rFonts w:hint="eastAsia" w:ascii="仿宋_GB2312" w:eastAsia="仿宋_GB2312"/>
                    </w:rPr>
                  </w:pPr>
                  <w:r>
                    <w:rPr>
                      <w:rFonts w:hint="eastAsia" w:ascii="仿宋_GB2312" w:eastAsia="仿宋_GB2312"/>
                    </w:rPr>
                    <w:t>8.整机屏幕占比≥90%。</w:t>
                  </w:r>
                </w:p>
                <w:p w14:paraId="74A6342D">
                  <w:pPr>
                    <w:widowControl/>
                    <w:jc w:val="left"/>
                    <w:textAlignment w:val="center"/>
                    <w:rPr>
                      <w:rFonts w:hint="eastAsia" w:ascii="仿宋_GB2312" w:eastAsia="仿宋_GB2312"/>
                    </w:rPr>
                  </w:pPr>
                  <w:r>
                    <w:rPr>
                      <w:rFonts w:hint="eastAsia" w:ascii="仿宋_GB2312" w:eastAsia="仿宋_GB2312"/>
                    </w:rPr>
                    <w:t>9.整机采用全物理钢化玻璃，有效保护屏幕显示画面。整机采用防眩光玻璃，屏幕支持防眩光功能，钢化玻璃表面硬度≥9H。透光率≥90%，玻璃的光泽度≤8度。</w:t>
                  </w:r>
                </w:p>
                <w:p w14:paraId="15540B4D">
                  <w:pPr>
                    <w:widowControl/>
                    <w:jc w:val="left"/>
                    <w:textAlignment w:val="center"/>
                    <w:rPr>
                      <w:rFonts w:hint="eastAsia" w:ascii="仿宋_GB2312" w:eastAsia="仿宋_GB2312"/>
                    </w:rPr>
                  </w:pPr>
                  <w:r>
                    <w:rPr>
                      <w:rFonts w:hint="eastAsia" w:ascii="仿宋_GB2312" w:eastAsia="仿宋_GB2312"/>
                    </w:rPr>
                    <w:t>11.钢化玻璃厚度3mm，颗粒度在50mmX50mm方框内≥40粒，以保证玻璃的抗弯曲、抗冲击强度和屏幕图像的清晰</w:t>
                  </w:r>
                </w:p>
                <w:p w14:paraId="6E975030">
                  <w:pPr>
                    <w:widowControl/>
                    <w:jc w:val="left"/>
                    <w:textAlignment w:val="center"/>
                    <w:rPr>
                      <w:rFonts w:hint="eastAsia" w:ascii="仿宋_GB2312" w:eastAsia="仿宋_GB2312"/>
                    </w:rPr>
                  </w:pPr>
                  <w:r>
                    <w:rPr>
                      <w:rFonts w:hint="eastAsia" w:ascii="仿宋_GB2312" w:eastAsia="仿宋_GB2312"/>
                    </w:rPr>
                    <w:t>二、触控</w:t>
                  </w:r>
                </w:p>
                <w:p w14:paraId="7C2B4FCA">
                  <w:pPr>
                    <w:widowControl/>
                    <w:jc w:val="left"/>
                    <w:textAlignment w:val="center"/>
                    <w:rPr>
                      <w:rFonts w:hint="eastAsia" w:ascii="仿宋_GB2312" w:eastAsia="仿宋_GB2312"/>
                    </w:rPr>
                  </w:pPr>
                  <w:r>
                    <w:rPr>
                      <w:rFonts w:hint="eastAsia" w:ascii="仿宋_GB2312" w:eastAsia="仿宋_GB2312"/>
                    </w:rPr>
                    <w:t>1.采用红外触控方式，全通道支持≥10点触摸，最大支持≥20点触摸</w:t>
                  </w:r>
                </w:p>
                <w:p w14:paraId="784AA3D5">
                  <w:pPr>
                    <w:widowControl/>
                    <w:jc w:val="left"/>
                    <w:textAlignment w:val="center"/>
                    <w:rPr>
                      <w:rFonts w:hint="eastAsia" w:ascii="仿宋_GB2312" w:eastAsia="仿宋_GB2312"/>
                    </w:rPr>
                  </w:pPr>
                  <w:r>
                    <w:rPr>
                      <w:rFonts w:hint="eastAsia" w:ascii="仿宋_GB2312" w:eastAsia="仿宋_GB2312"/>
                    </w:rPr>
                    <w:t>2.触摸分辨率32768（W）X32768（D）。</w:t>
                  </w:r>
                </w:p>
                <w:p w14:paraId="7B6AFFAA">
                  <w:pPr>
                    <w:widowControl/>
                    <w:jc w:val="left"/>
                    <w:textAlignment w:val="center"/>
                    <w:rPr>
                      <w:rFonts w:hint="eastAsia" w:ascii="仿宋_GB2312" w:eastAsia="仿宋_GB2312"/>
                    </w:rPr>
                  </w:pPr>
                  <w:r>
                    <w:rPr>
                      <w:rFonts w:hint="eastAsia" w:ascii="仿宋_GB2312" w:eastAsia="仿宋_GB2312"/>
                    </w:rPr>
                    <w:t>3.触摸屏具有防遮挡功能，触摸接收器在单点或多点遮挡后仍能正常书写。</w:t>
                  </w:r>
                </w:p>
                <w:p w14:paraId="6F538BAC">
                  <w:pPr>
                    <w:widowControl/>
                    <w:jc w:val="left"/>
                    <w:textAlignment w:val="center"/>
                    <w:rPr>
                      <w:rFonts w:hint="eastAsia" w:ascii="仿宋_GB2312" w:eastAsia="仿宋_GB2312"/>
                    </w:rPr>
                  </w:pPr>
                  <w:r>
                    <w:rPr>
                      <w:rFonts w:hint="eastAsia" w:ascii="仿宋_GB2312" w:eastAsia="仿宋_GB2312"/>
                    </w:rPr>
                    <w:t>三、音视频</w:t>
                  </w:r>
                </w:p>
                <w:p w14:paraId="5583BC0C">
                  <w:pPr>
                    <w:widowControl/>
                    <w:jc w:val="left"/>
                    <w:textAlignment w:val="center"/>
                    <w:rPr>
                      <w:rFonts w:hint="eastAsia" w:ascii="仿宋_GB2312" w:eastAsia="仿宋_GB2312"/>
                    </w:rPr>
                  </w:pPr>
                  <w:r>
                    <w:rPr>
                      <w:rFonts w:hint="eastAsia" w:ascii="仿宋_GB2312" w:eastAsia="仿宋_GB2312"/>
                    </w:rPr>
                    <w:t>1.整机内置麦克风、摄像头</w:t>
                  </w:r>
                </w:p>
                <w:p w14:paraId="5C815FF8">
                  <w:pPr>
                    <w:widowControl/>
                    <w:jc w:val="left"/>
                    <w:textAlignment w:val="center"/>
                    <w:rPr>
                      <w:rFonts w:hint="eastAsia" w:ascii="仿宋_GB2312" w:eastAsia="仿宋_GB2312"/>
                    </w:rPr>
                  </w:pPr>
                  <w:r>
                    <w:rPr>
                      <w:rFonts w:hint="eastAsia" w:ascii="仿宋_GB2312" w:eastAsia="仿宋_GB2312"/>
                    </w:rPr>
                    <w:t>2.整机内置2个2.0声道扬声器</w:t>
                  </w:r>
                </w:p>
                <w:p w14:paraId="06C347D3">
                  <w:pPr>
                    <w:widowControl/>
                    <w:jc w:val="left"/>
                    <w:textAlignment w:val="center"/>
                    <w:rPr>
                      <w:rFonts w:hint="eastAsia" w:ascii="仿宋_GB2312" w:eastAsia="仿宋_GB2312"/>
                    </w:rPr>
                  </w:pPr>
                  <w:r>
                    <w:rPr>
                      <w:rFonts w:hint="eastAsia" w:ascii="仿宋_GB2312" w:eastAsia="仿宋_GB2312"/>
                    </w:rPr>
                    <w:t>3.、麦克风</w:t>
                  </w:r>
                </w:p>
                <w:p w14:paraId="766B2D9A">
                  <w:pPr>
                    <w:widowControl/>
                    <w:jc w:val="left"/>
                    <w:textAlignment w:val="center"/>
                    <w:rPr>
                      <w:rFonts w:hint="eastAsia" w:ascii="仿宋_GB2312" w:eastAsia="仿宋_GB2312"/>
                    </w:rPr>
                  </w:pPr>
                  <w:r>
                    <w:rPr>
                      <w:rFonts w:hint="eastAsia" w:ascii="仿宋_GB2312" w:eastAsia="仿宋_GB2312"/>
                    </w:rPr>
                    <w:t>四、OPS电脑：</w:t>
                  </w:r>
                </w:p>
                <w:p w14:paraId="36CFDA3B">
                  <w:pPr>
                    <w:widowControl/>
                    <w:jc w:val="left"/>
                    <w:textAlignment w:val="center"/>
                    <w:rPr>
                      <w:rFonts w:hint="eastAsia" w:ascii="仿宋_GB2312" w:eastAsia="仿宋_GB2312"/>
                    </w:rPr>
                  </w:pPr>
                  <w:r>
                    <w:rPr>
                      <w:rFonts w:hint="eastAsia" w:ascii="仿宋_GB2312" w:eastAsia="仿宋_GB2312"/>
                    </w:rPr>
                    <w:t>1.CPU≥ I5，内存≥8g，硬盘≥256g</w:t>
                  </w:r>
                </w:p>
                <w:p w14:paraId="509BE870">
                  <w:pPr>
                    <w:widowControl/>
                    <w:jc w:val="left"/>
                    <w:textAlignment w:val="center"/>
                    <w:rPr>
                      <w:rFonts w:hint="eastAsia" w:ascii="仿宋_GB2312" w:eastAsia="仿宋_GB2312"/>
                    </w:rPr>
                  </w:pPr>
                  <w:r>
                    <w:rPr>
                      <w:rFonts w:hint="eastAsia" w:ascii="仿宋_GB2312" w:eastAsia="仿宋_GB2312"/>
                    </w:rPr>
                    <w:t>2. windows系统</w:t>
                  </w:r>
                </w:p>
                <w:p w14:paraId="68291A77">
                  <w:pPr>
                    <w:widowControl/>
                    <w:jc w:val="left"/>
                    <w:textAlignment w:val="center"/>
                    <w:rPr>
                      <w:rFonts w:hint="eastAsia" w:ascii="仿宋_GB2312" w:eastAsia="仿宋_GB2312"/>
                    </w:rPr>
                  </w:pPr>
                  <w:r>
                    <w:rPr>
                      <w:rFonts w:hint="eastAsia" w:ascii="仿宋_GB2312" w:eastAsia="仿宋_GB2312"/>
                    </w:rPr>
                    <w:t>五、具有CCC、节能、环境认证证书</w:t>
                  </w:r>
                </w:p>
                <w:p w14:paraId="55A36B49">
                  <w:pPr>
                    <w:widowControl/>
                    <w:jc w:val="left"/>
                    <w:textAlignment w:val="center"/>
                    <w:rPr>
                      <w:rFonts w:ascii="宋体" w:hAnsi="宋体" w:cs="Arial"/>
                      <w:kern w:val="0"/>
                      <w:szCs w:val="21"/>
                    </w:rPr>
                  </w:pPr>
                </w:p>
              </w:tc>
            </w:tr>
          </w:tbl>
          <w:p w14:paraId="764DF560">
            <w:pPr>
              <w:pStyle w:val="6"/>
              <w:widowControl/>
              <w:spacing w:beforeAutospacing="0" w:afterAutospacing="0"/>
              <w:rPr>
                <w:sz w:val="21"/>
                <w:szCs w:val="21"/>
              </w:rPr>
            </w:pPr>
          </w:p>
        </w:tc>
      </w:tr>
      <w:tr w14:paraId="4B869AB0">
        <w:tblPrEx>
          <w:tblCellMar>
            <w:top w:w="0" w:type="dxa"/>
            <w:left w:w="0" w:type="dxa"/>
            <w:bottom w:w="0" w:type="dxa"/>
            <w:right w:w="0" w:type="dxa"/>
          </w:tblCellMar>
        </w:tblPrEx>
        <w:trPr>
          <w:trHeight w:val="940" w:hRule="atLeast"/>
        </w:trPr>
        <w:tc>
          <w:tcPr>
            <w:tcW w:w="120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4543DE51">
            <w:pPr>
              <w:pStyle w:val="6"/>
              <w:widowControl/>
              <w:spacing w:beforeAutospacing="0" w:afterAutospacing="0"/>
              <w:jc w:val="center"/>
              <w:rPr>
                <w:rStyle w:val="10"/>
                <w:rFonts w:hint="eastAsia" w:ascii="宋体" w:hAnsi="宋体" w:cs="宋体"/>
                <w:bCs/>
                <w:sz w:val="21"/>
                <w:szCs w:val="21"/>
              </w:rPr>
            </w:pPr>
            <w:r>
              <w:rPr>
                <w:rStyle w:val="10"/>
                <w:rFonts w:hint="eastAsia" w:ascii="宋体" w:hAnsi="宋体" w:cs="宋体"/>
                <w:bCs/>
                <w:sz w:val="21"/>
                <w:szCs w:val="21"/>
              </w:rPr>
              <w:t>服务要求</w:t>
            </w:r>
          </w:p>
          <w:p w14:paraId="135DB0AC">
            <w:pPr>
              <w:pStyle w:val="6"/>
              <w:widowControl/>
              <w:spacing w:beforeAutospacing="0" w:afterAutospacing="0"/>
              <w:jc w:val="center"/>
              <w:rPr>
                <w:sz w:val="21"/>
                <w:szCs w:val="21"/>
              </w:rPr>
            </w:pPr>
          </w:p>
        </w:tc>
        <w:tc>
          <w:tcPr>
            <w:tcW w:w="7824" w:type="dxa"/>
            <w:tcBorders>
              <w:top w:val="single" w:color="auto" w:sz="4" w:space="0"/>
              <w:left w:val="single" w:color="auto" w:sz="4" w:space="0"/>
              <w:bottom w:val="single" w:color="auto" w:sz="4" w:space="0"/>
              <w:right w:val="single" w:color="auto" w:sz="4" w:space="0"/>
            </w:tcBorders>
            <w:noWrap w:val="0"/>
            <w:tcMar>
              <w:left w:w="70" w:type="dxa"/>
              <w:right w:w="70" w:type="dxa"/>
            </w:tcMar>
            <w:vAlign w:val="top"/>
          </w:tcPr>
          <w:p w14:paraId="3EF4C4FA">
            <w:pPr>
              <w:pStyle w:val="6"/>
              <w:widowControl/>
              <w:spacing w:beforeAutospacing="0" w:afterAutospacing="0"/>
              <w:ind w:firstLine="422" w:firstLineChars="200"/>
              <w:rPr>
                <w:rFonts w:hint="eastAsia" w:ascii="宋体" w:hAnsi="宋体" w:cs="宋体"/>
                <w:b/>
                <w:bCs/>
                <w:sz w:val="21"/>
                <w:szCs w:val="21"/>
              </w:rPr>
            </w:pPr>
            <w:r>
              <w:rPr>
                <w:rFonts w:hint="eastAsia" w:ascii="宋体" w:hAnsi="宋体" w:cs="宋体"/>
                <w:b/>
                <w:bCs/>
                <w:sz w:val="21"/>
                <w:szCs w:val="21"/>
              </w:rPr>
              <w:t>1.</w:t>
            </w:r>
            <w:r>
              <w:rPr>
                <w:rStyle w:val="10"/>
                <w:rFonts w:hint="eastAsia" w:ascii="宋体" w:hAnsi="宋体" w:cs="宋体"/>
                <w:bCs/>
                <w:sz w:val="21"/>
                <w:szCs w:val="21"/>
              </w:rPr>
              <w:t>交货期</w:t>
            </w:r>
            <w:r>
              <w:rPr>
                <w:rFonts w:hint="eastAsia" w:ascii="宋体" w:hAnsi="宋体" w:cs="宋体"/>
                <w:sz w:val="21"/>
                <w:szCs w:val="21"/>
              </w:rPr>
              <w:t xml:space="preserve">：合同签订之日起 </w:t>
            </w:r>
            <w:r>
              <w:rPr>
                <w:rFonts w:hint="eastAsia" w:ascii="宋体" w:hAnsi="宋体" w:cs="宋体"/>
                <w:sz w:val="21"/>
                <w:szCs w:val="21"/>
                <w:lang w:val="en-US" w:eastAsia="zh-CN"/>
              </w:rPr>
              <w:t>7</w:t>
            </w:r>
            <w:r>
              <w:rPr>
                <w:rFonts w:hint="eastAsia" w:ascii="宋体" w:hAnsi="宋体" w:cs="宋体"/>
                <w:sz w:val="21"/>
                <w:szCs w:val="21"/>
              </w:rPr>
              <w:t xml:space="preserve"> 个</w:t>
            </w:r>
            <w:r>
              <w:rPr>
                <w:rFonts w:hint="eastAsia" w:ascii="宋体" w:hAnsi="宋体" w:cs="宋体"/>
                <w:sz w:val="21"/>
                <w:szCs w:val="21"/>
                <w:lang w:val="en-US" w:eastAsia="zh-CN"/>
              </w:rPr>
              <w:t>工作日</w:t>
            </w:r>
            <w:r>
              <w:rPr>
                <w:rFonts w:hint="eastAsia" w:ascii="宋体" w:hAnsi="宋体" w:cs="宋体"/>
                <w:sz w:val="21"/>
                <w:szCs w:val="21"/>
              </w:rPr>
              <w:t>内将货物运抵采购人指定地点。</w:t>
            </w:r>
          </w:p>
          <w:p w14:paraId="05398695">
            <w:pPr>
              <w:pStyle w:val="6"/>
              <w:widowControl/>
              <w:spacing w:beforeAutospacing="0" w:afterAutospacing="0"/>
              <w:ind w:firstLine="422" w:firstLineChars="200"/>
              <w:rPr>
                <w:sz w:val="21"/>
                <w:szCs w:val="21"/>
              </w:rPr>
            </w:pPr>
            <w:r>
              <w:rPr>
                <w:rFonts w:hint="eastAsia" w:ascii="宋体" w:hAnsi="宋体" w:cs="宋体"/>
                <w:b/>
                <w:bCs/>
                <w:sz w:val="21"/>
                <w:szCs w:val="21"/>
              </w:rPr>
              <w:t>2.</w:t>
            </w:r>
            <w:r>
              <w:rPr>
                <w:rStyle w:val="10"/>
                <w:rFonts w:hint="eastAsia" w:ascii="宋体" w:hAnsi="宋体" w:cs="宋体"/>
                <w:bCs/>
                <w:sz w:val="21"/>
                <w:szCs w:val="21"/>
              </w:rPr>
              <w:t>交货地点</w:t>
            </w:r>
            <w:r>
              <w:rPr>
                <w:rFonts w:hint="eastAsia" w:ascii="宋体" w:hAnsi="宋体" w:cs="宋体"/>
                <w:sz w:val="21"/>
                <w:szCs w:val="21"/>
              </w:rPr>
              <w:t>：深圳市</w:t>
            </w:r>
            <w:r>
              <w:rPr>
                <w:rFonts w:hint="eastAsia" w:ascii="宋体" w:hAnsi="宋体" w:cs="宋体"/>
                <w:sz w:val="21"/>
                <w:szCs w:val="21"/>
                <w:lang w:eastAsia="zh-CN"/>
              </w:rPr>
              <w:t>罗湖</w:t>
            </w:r>
            <w:r>
              <w:rPr>
                <w:rFonts w:hint="eastAsia" w:ascii="宋体" w:hAnsi="宋体" w:cs="宋体"/>
                <w:sz w:val="21"/>
                <w:szCs w:val="21"/>
              </w:rPr>
              <w:t>区</w:t>
            </w:r>
            <w:r>
              <w:rPr>
                <w:rFonts w:hint="eastAsia" w:ascii="宋体" w:hAnsi="宋体" w:cs="宋体"/>
                <w:sz w:val="21"/>
                <w:szCs w:val="21"/>
                <w:lang w:eastAsia="zh-CN"/>
              </w:rPr>
              <w:t>人民南路</w:t>
            </w:r>
            <w:r>
              <w:rPr>
                <w:rFonts w:hint="eastAsia" w:ascii="宋体" w:hAnsi="宋体" w:cs="宋体"/>
                <w:sz w:val="21"/>
                <w:szCs w:val="21"/>
                <w:lang w:val="en-US" w:eastAsia="zh-CN"/>
              </w:rPr>
              <w:t>1006号边检大厦25楼</w:t>
            </w:r>
            <w:r>
              <w:rPr>
                <w:rFonts w:hint="eastAsia" w:ascii="宋体" w:hAnsi="宋体" w:cs="宋体"/>
                <w:sz w:val="21"/>
                <w:szCs w:val="21"/>
              </w:rPr>
              <w:t>。中标后由中标供应商送货至指定地址并进行安装调试，不接受快递物流送货</w:t>
            </w:r>
          </w:p>
          <w:p w14:paraId="4CF3E7F0">
            <w:pPr>
              <w:pStyle w:val="6"/>
              <w:widowControl/>
              <w:spacing w:beforeAutospacing="0" w:afterAutospacing="0"/>
              <w:ind w:firstLine="422" w:firstLineChars="200"/>
              <w:rPr>
                <w:rFonts w:hint="eastAsia"/>
                <w:sz w:val="21"/>
                <w:szCs w:val="21"/>
              </w:rPr>
            </w:pPr>
            <w:r>
              <w:rPr>
                <w:rFonts w:hint="eastAsia" w:ascii="宋体" w:hAnsi="宋体" w:cs="宋体"/>
                <w:b/>
                <w:bCs/>
                <w:sz w:val="21"/>
                <w:szCs w:val="21"/>
              </w:rPr>
              <w:t>3.</w:t>
            </w:r>
            <w:r>
              <w:rPr>
                <w:rStyle w:val="10"/>
                <w:rFonts w:hint="eastAsia" w:ascii="宋体" w:hAnsi="宋体" w:cs="宋体"/>
                <w:bCs/>
                <w:sz w:val="21"/>
                <w:szCs w:val="21"/>
              </w:rPr>
              <w:t>付款方式：</w:t>
            </w:r>
            <w:r>
              <w:rPr>
                <w:rFonts w:hint="eastAsia" w:ascii="宋体" w:hAnsi="宋体" w:cs="宋体"/>
                <w:sz w:val="21"/>
                <w:szCs w:val="21"/>
              </w:rPr>
              <w:t>设备交付后，需等采购人安排安装，中标人负责安排人员到现场安装，调试合格并通过采购人整体项目验收后，一次性支付合同款项。</w:t>
            </w:r>
          </w:p>
          <w:p w14:paraId="1048083A">
            <w:pPr>
              <w:pStyle w:val="6"/>
              <w:widowControl/>
              <w:spacing w:beforeAutospacing="0" w:afterAutospacing="0"/>
              <w:ind w:firstLine="422" w:firstLineChars="200"/>
              <w:rPr>
                <w:sz w:val="21"/>
                <w:szCs w:val="21"/>
              </w:rPr>
            </w:pPr>
            <w:r>
              <w:rPr>
                <w:rFonts w:hint="eastAsia" w:ascii="宋体" w:hAnsi="宋体" w:cs="宋体"/>
                <w:b/>
                <w:bCs/>
                <w:sz w:val="21"/>
                <w:szCs w:val="21"/>
              </w:rPr>
              <w:t>4.</w:t>
            </w:r>
            <w:r>
              <w:rPr>
                <w:rStyle w:val="10"/>
                <w:rFonts w:hint="eastAsia" w:ascii="宋体" w:hAnsi="宋体" w:cs="宋体"/>
                <w:bCs/>
                <w:sz w:val="21"/>
                <w:szCs w:val="21"/>
              </w:rPr>
              <w:t>通用售后服务的要求：</w:t>
            </w:r>
          </w:p>
          <w:p w14:paraId="02407399">
            <w:pPr>
              <w:pStyle w:val="6"/>
              <w:widowControl/>
              <w:spacing w:beforeAutospacing="0" w:afterAutospacing="0"/>
              <w:ind w:left="280"/>
              <w:rPr>
                <w:sz w:val="21"/>
                <w:szCs w:val="21"/>
              </w:rPr>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交货产品必须为原厂整机，原包装完整未拆封。</w:t>
            </w:r>
            <w:r>
              <w:rPr>
                <w:rFonts w:ascii="宋体" w:hAnsi="宋体" w:cs="宋体"/>
                <w:sz w:val="21"/>
                <w:szCs w:val="21"/>
              </w:rPr>
              <w:t>厂家三包服务，质保期及其他</w:t>
            </w:r>
            <w:r>
              <w:rPr>
                <w:rFonts w:hint="eastAsia" w:ascii="宋体" w:hAnsi="宋体" w:cs="宋体"/>
                <w:sz w:val="21"/>
                <w:szCs w:val="21"/>
              </w:rPr>
              <w:t>售后服务标准与产品出厂市场标准服务须一致。</w:t>
            </w:r>
          </w:p>
          <w:p w14:paraId="77C41E93">
            <w:pPr>
              <w:pStyle w:val="6"/>
              <w:widowControl/>
              <w:spacing w:beforeAutospacing="0" w:afterAutospacing="0"/>
              <w:ind w:left="280"/>
              <w:rPr>
                <w:sz w:val="21"/>
                <w:szCs w:val="21"/>
              </w:rPr>
            </w:pPr>
            <w:r>
              <w:rPr>
                <w:rFonts w:hint="eastAsia" w:ascii="宋体" w:hAnsi="宋体" w:cs="宋体"/>
                <w:sz w:val="21"/>
                <w:szCs w:val="21"/>
              </w:rPr>
              <w:t>（</w:t>
            </w:r>
            <w:r>
              <w:rPr>
                <w:rFonts w:ascii="宋体" w:hAnsi="宋体" w:cs="宋体"/>
                <w:sz w:val="21"/>
                <w:szCs w:val="21"/>
              </w:rPr>
              <w:t>2）故障响应时间：</w:t>
            </w:r>
            <w:r>
              <w:rPr>
                <w:rFonts w:hint="eastAsia" w:ascii="宋体" w:hAnsi="宋体" w:cs="宋体"/>
                <w:sz w:val="21"/>
                <w:szCs w:val="21"/>
              </w:rPr>
              <w:t>48小时内。电话技术支持7*24小时响应，5X9第2个工作日上门服务，质保期</w:t>
            </w:r>
            <w:r>
              <w:rPr>
                <w:rFonts w:hint="eastAsia" w:ascii="宋体" w:hAnsi="宋体" w:cs="宋体"/>
                <w:sz w:val="21"/>
                <w:szCs w:val="21"/>
                <w:u w:val="single"/>
              </w:rPr>
              <w:t xml:space="preserve"> ≥3 </w:t>
            </w:r>
            <w:r>
              <w:rPr>
                <w:rFonts w:hint="eastAsia" w:ascii="宋体" w:hAnsi="宋体" w:cs="宋体"/>
                <w:sz w:val="21"/>
                <w:szCs w:val="21"/>
              </w:rPr>
              <w:t>年，终生维护。特殊硬件故障厂家安排人员于48小时内带配件现场解决。</w:t>
            </w:r>
          </w:p>
          <w:p w14:paraId="2DB8D718">
            <w:pPr>
              <w:pStyle w:val="6"/>
              <w:widowControl/>
              <w:spacing w:beforeAutospacing="0" w:afterAutospacing="0"/>
              <w:ind w:left="280"/>
              <w:rPr>
                <w:sz w:val="21"/>
                <w:szCs w:val="21"/>
              </w:rPr>
            </w:pPr>
            <w:r>
              <w:rPr>
                <w:rFonts w:hint="eastAsia" w:ascii="宋体" w:hAnsi="宋体" w:cs="宋体"/>
                <w:sz w:val="21"/>
                <w:szCs w:val="21"/>
              </w:rPr>
              <w:t>（</w:t>
            </w:r>
            <w:r>
              <w:rPr>
                <w:rFonts w:ascii="宋体" w:hAnsi="宋体" w:cs="宋体"/>
                <w:sz w:val="21"/>
                <w:szCs w:val="21"/>
              </w:rPr>
              <w:t>3）</w:t>
            </w:r>
            <w:r>
              <w:rPr>
                <w:rFonts w:hint="eastAsia"/>
                <w:sz w:val="21"/>
                <w:szCs w:val="21"/>
              </w:rPr>
              <w:t>提供</w:t>
            </w:r>
            <w:r>
              <w:rPr>
                <w:rFonts w:hint="eastAsia"/>
                <w:sz w:val="21"/>
                <w:szCs w:val="21"/>
                <w:u w:val="single"/>
              </w:rPr>
              <w:t xml:space="preserve"> ≥3</w:t>
            </w:r>
            <w:r>
              <w:rPr>
                <w:rFonts w:hint="eastAsia"/>
                <w:sz w:val="21"/>
                <w:szCs w:val="21"/>
              </w:rPr>
              <w:t xml:space="preserve"> 年原厂保修服务</w:t>
            </w:r>
            <w:r>
              <w:rPr>
                <w:rFonts w:hint="eastAsia" w:ascii="宋体" w:hAnsi="宋体" w:cs="宋体"/>
                <w:sz w:val="21"/>
                <w:szCs w:val="21"/>
              </w:rPr>
              <w:t>。</w:t>
            </w:r>
            <w:r>
              <w:rPr>
                <w:rFonts w:hint="eastAsia" w:ascii="宋体" w:hAnsi="宋体" w:cs="宋体"/>
                <w:b/>
                <w:bCs/>
                <w:color w:val="auto"/>
                <w:sz w:val="21"/>
                <w:szCs w:val="21"/>
                <w:highlight w:val="yellow"/>
              </w:rPr>
              <w:t>上传针对本项目名称的原厂商质保与售后服务承诺函</w:t>
            </w:r>
            <w:r>
              <w:rPr>
                <w:rFonts w:hint="eastAsia" w:ascii="宋体" w:hAnsi="宋体" w:cs="宋体"/>
                <w:b/>
                <w:bCs/>
                <w:color w:val="auto"/>
                <w:sz w:val="21"/>
                <w:szCs w:val="21"/>
                <w:highlight w:val="yellow"/>
                <w:lang w:eastAsia="zh-CN"/>
              </w:rPr>
              <w:t>，</w:t>
            </w:r>
            <w:r>
              <w:rPr>
                <w:rFonts w:hint="eastAsia" w:ascii="宋体" w:hAnsi="宋体" w:cs="宋体"/>
                <w:sz w:val="21"/>
                <w:szCs w:val="21"/>
              </w:rPr>
              <w:t>厂家必须提供完整的售后服务保障。</w:t>
            </w:r>
          </w:p>
          <w:p w14:paraId="4AC2CA21">
            <w:pPr>
              <w:pStyle w:val="6"/>
              <w:widowControl/>
              <w:spacing w:beforeAutospacing="0" w:afterAutospacing="0"/>
              <w:ind w:firstLine="422" w:firstLineChars="200"/>
              <w:rPr>
                <w:rFonts w:hint="eastAsia"/>
                <w:sz w:val="21"/>
                <w:szCs w:val="21"/>
              </w:rPr>
            </w:pPr>
            <w:r>
              <w:rPr>
                <w:rFonts w:hint="eastAsia" w:ascii="宋体" w:hAnsi="宋体" w:cs="宋体"/>
                <w:b/>
                <w:bCs/>
                <w:sz w:val="21"/>
                <w:szCs w:val="21"/>
              </w:rPr>
              <w:t>5.</w:t>
            </w:r>
            <w:r>
              <w:rPr>
                <w:rStyle w:val="10"/>
                <w:rFonts w:hint="eastAsia" w:ascii="宋体" w:hAnsi="宋体" w:cs="宋体"/>
                <w:bCs/>
                <w:sz w:val="21"/>
                <w:szCs w:val="21"/>
              </w:rPr>
              <w:t>安装调试：</w:t>
            </w:r>
          </w:p>
          <w:p w14:paraId="1A90A363">
            <w:pPr>
              <w:pStyle w:val="6"/>
              <w:widowControl/>
              <w:spacing w:beforeAutospacing="0" w:afterAutospacing="0"/>
              <w:ind w:firstLine="420" w:firstLineChars="200"/>
              <w:rPr>
                <w:sz w:val="21"/>
                <w:szCs w:val="21"/>
              </w:rPr>
            </w:pPr>
            <w:r>
              <w:rPr>
                <w:rFonts w:hint="eastAsia" w:ascii="宋体" w:hAnsi="宋体" w:cs="宋体"/>
                <w:sz w:val="21"/>
                <w:szCs w:val="21"/>
              </w:rPr>
              <w:sym w:font="Wingdings" w:char="00FE"/>
            </w:r>
            <w:r>
              <w:rPr>
                <w:rFonts w:hint="eastAsia" w:ascii="宋体" w:hAnsi="宋体" w:cs="宋体"/>
                <w:sz w:val="21"/>
                <w:szCs w:val="21"/>
              </w:rPr>
              <w:t>供应商应派有经验的技术人员到现场进行指导安装、调试，直到设备正常使用。</w:t>
            </w:r>
          </w:p>
          <w:p w14:paraId="47A5CA62">
            <w:pPr>
              <w:pStyle w:val="6"/>
              <w:widowControl/>
              <w:spacing w:beforeAutospacing="0" w:afterAutospacing="0"/>
              <w:ind w:firstLine="420" w:firstLineChars="200"/>
              <w:rPr>
                <w:sz w:val="21"/>
                <w:szCs w:val="21"/>
              </w:rPr>
            </w:pPr>
            <w:r>
              <w:rPr>
                <w:rFonts w:hint="eastAsia" w:ascii="宋体" w:hAnsi="宋体" w:cs="宋体"/>
                <w:sz w:val="21"/>
                <w:szCs w:val="21"/>
              </w:rPr>
              <w:t>□自定：</w:t>
            </w:r>
          </w:p>
          <w:p w14:paraId="4219B9AF">
            <w:pPr>
              <w:pStyle w:val="6"/>
              <w:widowControl/>
              <w:spacing w:beforeAutospacing="0" w:afterAutospacing="0"/>
              <w:ind w:firstLine="422" w:firstLineChars="200"/>
              <w:rPr>
                <w:sz w:val="21"/>
                <w:szCs w:val="21"/>
              </w:rPr>
            </w:pPr>
            <w:r>
              <w:rPr>
                <w:rFonts w:hint="eastAsia" w:ascii="宋体" w:hAnsi="宋体" w:cs="宋体"/>
                <w:b/>
                <w:bCs/>
                <w:sz w:val="21"/>
                <w:szCs w:val="21"/>
              </w:rPr>
              <w:t>6.</w:t>
            </w:r>
            <w:r>
              <w:rPr>
                <w:rStyle w:val="10"/>
                <w:rFonts w:hint="eastAsia" w:ascii="宋体" w:hAnsi="宋体" w:cs="宋体"/>
                <w:bCs/>
                <w:sz w:val="21"/>
                <w:szCs w:val="21"/>
              </w:rPr>
              <w:t>关于验收：</w:t>
            </w:r>
          </w:p>
          <w:p w14:paraId="3F3F7E98">
            <w:pPr>
              <w:pStyle w:val="6"/>
              <w:widowControl/>
              <w:spacing w:beforeAutospacing="0" w:afterAutospacing="0"/>
              <w:ind w:firstLine="420" w:firstLineChars="200"/>
              <w:rPr>
                <w:rFonts w:hint="eastAsia" w:ascii="宋体" w:hAnsi="宋体" w:cs="宋体"/>
                <w:sz w:val="21"/>
                <w:szCs w:val="21"/>
              </w:rPr>
            </w:pPr>
            <w:r>
              <w:rPr>
                <w:rFonts w:hint="eastAsia" w:ascii="宋体" w:hAnsi="宋体" w:cs="宋体"/>
                <w:sz w:val="21"/>
                <w:szCs w:val="21"/>
              </w:rPr>
              <w:t>由采购人按合同和招标、投标文件约定的要求和标准及中华人民共和国现行的验收规范和评定标准进行交货验收。</w:t>
            </w:r>
          </w:p>
          <w:p w14:paraId="264DE6D2">
            <w:pPr>
              <w:pStyle w:val="6"/>
              <w:widowControl/>
              <w:spacing w:beforeAutospacing="0" w:afterAutospacing="0"/>
              <w:ind w:firstLine="420" w:firstLineChars="200"/>
              <w:rPr>
                <w:sz w:val="21"/>
                <w:szCs w:val="21"/>
              </w:rPr>
            </w:pPr>
            <w:r>
              <w:rPr>
                <w:rFonts w:hint="eastAsia" w:ascii="宋体" w:hAnsi="宋体" w:cs="宋体"/>
                <w:sz w:val="21"/>
                <w:szCs w:val="21"/>
              </w:rPr>
              <w:t>当满足以下条件时，采购人才向中标人签发货物验收报告：</w:t>
            </w:r>
          </w:p>
          <w:p w14:paraId="0FF9706C">
            <w:pPr>
              <w:pStyle w:val="6"/>
              <w:widowControl/>
              <w:spacing w:beforeAutospacing="0" w:afterAutospacing="0"/>
              <w:ind w:firstLine="420" w:firstLineChars="200"/>
              <w:rPr>
                <w:sz w:val="21"/>
                <w:szCs w:val="21"/>
              </w:rPr>
            </w:pPr>
            <w:r>
              <w:rPr>
                <w:sz w:val="21"/>
                <w:szCs w:val="21"/>
              </w:rPr>
              <w:t>a</w:t>
            </w:r>
            <w:r>
              <w:rPr>
                <w:rFonts w:hint="eastAsia" w:ascii="宋体" w:hAnsi="宋体" w:cs="宋体"/>
                <w:sz w:val="21"/>
                <w:szCs w:val="21"/>
              </w:rPr>
              <w:t>、中标人已按照合同规定提供了全部符合技术要求的产品及完整的技术资料；</w:t>
            </w:r>
          </w:p>
          <w:p w14:paraId="4DD78450">
            <w:pPr>
              <w:pStyle w:val="6"/>
              <w:widowControl/>
              <w:spacing w:beforeAutospacing="0" w:afterAutospacing="0"/>
              <w:ind w:firstLine="420" w:firstLineChars="200"/>
              <w:rPr>
                <w:rFonts w:hint="eastAsia" w:ascii="宋体" w:hAnsi="宋体" w:cs="宋体"/>
                <w:sz w:val="21"/>
                <w:szCs w:val="21"/>
              </w:rPr>
            </w:pPr>
            <w:r>
              <w:rPr>
                <w:sz w:val="21"/>
                <w:szCs w:val="21"/>
              </w:rPr>
              <w:t>b</w:t>
            </w:r>
            <w:r>
              <w:rPr>
                <w:rFonts w:hint="eastAsia" w:ascii="宋体" w:hAnsi="宋体" w:cs="宋体"/>
                <w:sz w:val="21"/>
                <w:szCs w:val="21"/>
              </w:rPr>
              <w:t>、货物符合招标文件技术规格书的要求，性能满足要求，如中标人提供的产品不符合竞价文件中的性能及技术要求，中标人须无条件按照竞价要求进行更改或更换，直至全部满足；</w:t>
            </w:r>
          </w:p>
          <w:p w14:paraId="6D210E01">
            <w:pPr>
              <w:pStyle w:val="6"/>
              <w:widowControl/>
              <w:spacing w:beforeAutospacing="0" w:afterAutospacing="0" w:line="230" w:lineRule="atLeast"/>
              <w:ind w:firstLine="420" w:firstLineChars="200"/>
              <w:rPr>
                <w:rFonts w:hint="eastAsia" w:ascii="宋体" w:hAnsi="宋体" w:cs="宋体"/>
                <w:sz w:val="21"/>
                <w:szCs w:val="21"/>
              </w:rPr>
            </w:pPr>
            <w:r>
              <w:rPr>
                <w:sz w:val="21"/>
                <w:szCs w:val="21"/>
              </w:rPr>
              <w:t>c</w:t>
            </w:r>
            <w:r>
              <w:rPr>
                <w:rFonts w:hint="eastAsia" w:ascii="宋体" w:hAnsi="宋体" w:cs="宋体"/>
                <w:sz w:val="21"/>
                <w:szCs w:val="21"/>
              </w:rPr>
              <w:t>、货物具备产品合格证。</w:t>
            </w:r>
          </w:p>
          <w:p w14:paraId="1661F14F">
            <w:pPr>
              <w:pStyle w:val="6"/>
              <w:widowControl/>
              <w:spacing w:beforeAutospacing="0" w:afterAutospacing="0"/>
              <w:ind w:firstLine="420" w:firstLineChars="200"/>
              <w:rPr>
                <w:rFonts w:hint="eastAsia"/>
                <w:color w:val="00B050"/>
                <w:sz w:val="21"/>
                <w:szCs w:val="21"/>
              </w:rPr>
            </w:pPr>
            <w:r>
              <w:rPr>
                <w:rFonts w:hint="eastAsia" w:ascii="宋体" w:hAnsi="宋体" w:cs="宋体"/>
                <w:sz w:val="21"/>
                <w:szCs w:val="21"/>
              </w:rPr>
              <w:t>其他：</w:t>
            </w:r>
            <w:r>
              <w:rPr>
                <w:rFonts w:hint="eastAsia" w:ascii="宋体" w:hAnsi="宋体" w:cs="宋体"/>
                <w:color w:val="00B050"/>
                <w:sz w:val="21"/>
                <w:szCs w:val="21"/>
              </w:rPr>
              <w:t>为保证配置的原厂性，所供产品为整机原厂出品，产品对应一条服务编码，在生产厂商官网上可根据服务编码查询相关配置和保修年限，供应商不得利用改装产品和非原厂配件交货，否则不予验收。</w:t>
            </w:r>
          </w:p>
          <w:p w14:paraId="099C94D0">
            <w:pPr>
              <w:pStyle w:val="6"/>
              <w:widowControl/>
              <w:spacing w:beforeAutospacing="0" w:afterAutospacing="0"/>
              <w:ind w:firstLine="422" w:firstLineChars="200"/>
              <w:rPr>
                <w:sz w:val="21"/>
                <w:szCs w:val="21"/>
              </w:rPr>
            </w:pPr>
            <w:r>
              <w:rPr>
                <w:rFonts w:hint="eastAsia" w:ascii="宋体" w:hAnsi="宋体" w:cs="宋体"/>
                <w:b/>
                <w:bCs/>
                <w:sz w:val="21"/>
                <w:szCs w:val="21"/>
              </w:rPr>
              <w:t>7.</w:t>
            </w:r>
            <w:r>
              <w:rPr>
                <w:rStyle w:val="10"/>
                <w:rFonts w:hint="eastAsia" w:ascii="宋体" w:hAnsi="宋体" w:cs="宋体"/>
                <w:bCs/>
                <w:sz w:val="21"/>
                <w:szCs w:val="21"/>
              </w:rPr>
              <w:t>运输及包装方式的要求</w:t>
            </w:r>
            <w:r>
              <w:rPr>
                <w:rFonts w:hint="eastAsia" w:ascii="宋体" w:hAnsi="宋体" w:cs="宋体"/>
                <w:sz w:val="21"/>
                <w:szCs w:val="21"/>
              </w:rPr>
              <w:t>：包装完好，产品无磕碰无损伤。</w:t>
            </w:r>
          </w:p>
          <w:p w14:paraId="69BD599F">
            <w:pPr>
              <w:pStyle w:val="6"/>
              <w:widowControl/>
              <w:spacing w:beforeAutospacing="0" w:afterAutospacing="0"/>
              <w:rPr>
                <w:rFonts w:ascii="宋体" w:hAnsi="宋体" w:cs="宋体"/>
                <w:sz w:val="21"/>
                <w:szCs w:val="21"/>
              </w:rPr>
            </w:pPr>
          </w:p>
        </w:tc>
      </w:tr>
    </w:tbl>
    <w:p w14:paraId="233826B5">
      <w:pPr>
        <w:widowControl/>
        <w:shd w:val="clear" w:color="auto" w:fill="F5F6F8"/>
        <w:spacing w:before="120" w:line="23" w:lineRule="atLeast"/>
        <w:ind w:right="796"/>
        <w:jc w:val="left"/>
        <w:rPr>
          <w:rFonts w:ascii="Helvetica" w:hAnsi="Helvetica" w:eastAsia="Helvetica" w:cs="Helvetica"/>
          <w:color w:val="FFFFFF"/>
          <w:szCs w:val="21"/>
        </w:rPr>
      </w:pPr>
      <w:r>
        <w:rPr>
          <w:rFonts w:hint="eastAsia" w:ascii="Helvetica" w:hAnsi="Helvetica" w:eastAsia="Helvetica" w:cs="Helvetica"/>
          <w:b/>
          <w:bCs/>
          <w:color w:val="333333"/>
          <w:kern w:val="0"/>
          <w:sz w:val="24"/>
          <w:shd w:val="clear" w:color="auto" w:fill="F5F6F8"/>
          <w:lang w:bidi="ar"/>
        </w:rPr>
        <w:t>附：</w:t>
      </w:r>
      <w:r>
        <w:rPr>
          <w:rFonts w:ascii="Helvetica" w:hAnsi="Helvetica" w:eastAsia="Helvetica" w:cs="Helvetica"/>
          <w:b/>
          <w:bCs/>
          <w:color w:val="333333"/>
          <w:kern w:val="0"/>
          <w:sz w:val="24"/>
          <w:shd w:val="clear" w:color="auto" w:fill="F5F6F8"/>
          <w:lang w:bidi="ar"/>
        </w:rPr>
        <w:t>反拍规则：</w:t>
      </w:r>
    </w:p>
    <w:p w14:paraId="4846B58D">
      <w:pPr>
        <w:widowControl/>
        <w:shd w:val="clear" w:color="auto" w:fill="F5F6F8"/>
        <w:spacing w:before="450" w:line="375" w:lineRule="atLeast"/>
        <w:jc w:val="left"/>
        <w:rPr>
          <w:rFonts w:ascii="Helvetica" w:hAnsi="Helvetica" w:eastAsia="Helvetica" w:cs="Helvetica"/>
          <w:b/>
          <w:bCs/>
          <w:sz w:val="24"/>
        </w:rPr>
      </w:pPr>
      <w:r>
        <w:rPr>
          <w:rFonts w:ascii="Helvetica" w:hAnsi="Helvetica" w:eastAsia="Helvetica" w:cs="Helvetica"/>
          <w:kern w:val="0"/>
          <w:szCs w:val="21"/>
          <w:shd w:val="clear" w:color="auto" w:fill="F5F6F8"/>
          <w:lang w:bidi="ar"/>
        </w:rPr>
        <w:t>对意向品牌型号商品发起反向暗价竞拍，满足</w:t>
      </w:r>
      <w:r>
        <w:rPr>
          <w:rFonts w:hint="eastAsia" w:ascii="Helvetica" w:hAnsi="Helvetica" w:eastAsia="Helvetica" w:cs="Helvetica"/>
          <w:kern w:val="0"/>
          <w:szCs w:val="21"/>
          <w:shd w:val="clear" w:color="auto" w:fill="F5F6F8"/>
          <w:lang w:bidi="ar"/>
        </w:rPr>
        <w:t>3</w:t>
      </w:r>
      <w:r>
        <w:rPr>
          <w:rFonts w:ascii="Helvetica" w:hAnsi="Helvetica" w:eastAsia="Helvetica" w:cs="Helvetica"/>
          <w:kern w:val="0"/>
          <w:szCs w:val="21"/>
          <w:shd w:val="clear" w:color="auto" w:fill="F5F6F8"/>
          <w:lang w:bidi="ar"/>
        </w:rPr>
        <w:t>家报价即可成交。</w:t>
      </w:r>
    </w:p>
    <w:p w14:paraId="21D1919D">
      <w:pPr>
        <w:widowControl/>
        <w:shd w:val="clear" w:color="auto" w:fill="F5F6F8"/>
        <w:spacing w:before="450" w:line="375" w:lineRule="atLeast"/>
        <w:jc w:val="left"/>
        <w:rPr>
          <w:rFonts w:ascii="Helvetica" w:hAnsi="Helvetica" w:eastAsia="Helvetica" w:cs="Helvetica"/>
          <w:color w:val="333333"/>
          <w:szCs w:val="21"/>
        </w:rPr>
      </w:pPr>
      <w:r>
        <w:rPr>
          <w:rFonts w:ascii="Helvetica" w:hAnsi="Helvetica" w:eastAsia="Helvetica" w:cs="Helvetica"/>
          <w:color w:val="333333"/>
          <w:kern w:val="0"/>
          <w:szCs w:val="21"/>
          <w:shd w:val="clear" w:color="auto" w:fill="F5F6F8"/>
          <w:lang w:bidi="ar"/>
        </w:rPr>
        <w:t>1.所有入驻E商城的供应商皆可参与报价。</w:t>
      </w:r>
      <w:r>
        <w:rPr>
          <w:rFonts w:ascii="Helvetica" w:hAnsi="Helvetica" w:eastAsia="Helvetica" w:cs="Helvetica"/>
          <w:color w:val="333333"/>
          <w:kern w:val="0"/>
          <w:szCs w:val="21"/>
          <w:shd w:val="clear" w:color="auto" w:fill="F5F6F8"/>
          <w:lang w:bidi="ar"/>
        </w:rPr>
        <w:br w:type="textWrapping"/>
      </w:r>
      <w:r>
        <w:rPr>
          <w:rFonts w:ascii="Helvetica" w:hAnsi="Helvetica" w:eastAsia="Helvetica" w:cs="Helvetica"/>
          <w:color w:val="333333"/>
          <w:kern w:val="0"/>
          <w:szCs w:val="21"/>
          <w:shd w:val="clear" w:color="auto" w:fill="F5F6F8"/>
          <w:lang w:bidi="ar"/>
        </w:rPr>
        <w:t>2.供应商参与报价则表示默认满足并接受反拍项目要求。</w:t>
      </w:r>
      <w:r>
        <w:rPr>
          <w:rFonts w:ascii="Helvetica" w:hAnsi="Helvetica" w:eastAsia="Helvetica" w:cs="Helvetica"/>
          <w:color w:val="333333"/>
          <w:kern w:val="0"/>
          <w:szCs w:val="21"/>
          <w:shd w:val="clear" w:color="auto" w:fill="F5F6F8"/>
          <w:lang w:bidi="ar"/>
        </w:rPr>
        <w:br w:type="textWrapping"/>
      </w:r>
      <w:r>
        <w:rPr>
          <w:rFonts w:ascii="Helvetica" w:hAnsi="Helvetica" w:eastAsia="Helvetica" w:cs="Helvetica"/>
          <w:color w:val="333333"/>
          <w:kern w:val="0"/>
          <w:szCs w:val="21"/>
          <w:shd w:val="clear" w:color="auto" w:fill="F5F6F8"/>
          <w:lang w:bidi="ar"/>
        </w:rPr>
        <w:t>3.反拍截止后，按照满足反拍需求、有效报价最低的原则，确定成交供应商。</w:t>
      </w:r>
      <w:r>
        <w:rPr>
          <w:rFonts w:ascii="Helvetica" w:hAnsi="Helvetica" w:eastAsia="Helvetica" w:cs="Helvetica"/>
          <w:color w:val="333333"/>
          <w:kern w:val="0"/>
          <w:szCs w:val="21"/>
          <w:shd w:val="clear" w:color="auto" w:fill="F5F6F8"/>
          <w:lang w:bidi="ar"/>
        </w:rPr>
        <w:br w:type="textWrapping"/>
      </w:r>
      <w:r>
        <w:rPr>
          <w:rFonts w:ascii="Helvetica" w:hAnsi="Helvetica" w:eastAsia="Helvetica" w:cs="Helvetica"/>
          <w:color w:val="333333"/>
          <w:kern w:val="0"/>
          <w:szCs w:val="21"/>
          <w:shd w:val="clear" w:color="auto" w:fill="F5F6F8"/>
          <w:lang w:bidi="ar"/>
        </w:rPr>
        <w:t xml:space="preserve">4.若无供应商报价，系统自动废标。 </w:t>
      </w:r>
    </w:p>
    <w:p w14:paraId="30A1587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MDhkMTc0MTEzMDhjOWMxMmM0ODI3ZjQ5M2JhZGYifQ=="/>
  </w:docVars>
  <w:rsids>
    <w:rsidRoot w:val="4F3A7146"/>
    <w:rsid w:val="00215B85"/>
    <w:rsid w:val="002406A0"/>
    <w:rsid w:val="003402CB"/>
    <w:rsid w:val="00355FF0"/>
    <w:rsid w:val="00360E24"/>
    <w:rsid w:val="00414E8E"/>
    <w:rsid w:val="004670B7"/>
    <w:rsid w:val="004A30EA"/>
    <w:rsid w:val="00504D06"/>
    <w:rsid w:val="005D36E3"/>
    <w:rsid w:val="00654B57"/>
    <w:rsid w:val="006704E3"/>
    <w:rsid w:val="006B1718"/>
    <w:rsid w:val="0070115C"/>
    <w:rsid w:val="007E41D7"/>
    <w:rsid w:val="008D02B9"/>
    <w:rsid w:val="00A8112A"/>
    <w:rsid w:val="00AA17EF"/>
    <w:rsid w:val="00AB72ED"/>
    <w:rsid w:val="00AF150D"/>
    <w:rsid w:val="00B02EF6"/>
    <w:rsid w:val="00B424DA"/>
    <w:rsid w:val="00B71926"/>
    <w:rsid w:val="00BC1E24"/>
    <w:rsid w:val="00BD056C"/>
    <w:rsid w:val="00C676C1"/>
    <w:rsid w:val="00D02398"/>
    <w:rsid w:val="00D30F92"/>
    <w:rsid w:val="00D92F32"/>
    <w:rsid w:val="00EB1A2C"/>
    <w:rsid w:val="00EC51FC"/>
    <w:rsid w:val="00FF5A2A"/>
    <w:rsid w:val="02E518FC"/>
    <w:rsid w:val="034675D0"/>
    <w:rsid w:val="042518D1"/>
    <w:rsid w:val="069E0AF2"/>
    <w:rsid w:val="08397B01"/>
    <w:rsid w:val="084E1401"/>
    <w:rsid w:val="087B6FB5"/>
    <w:rsid w:val="0A353A4C"/>
    <w:rsid w:val="0C011FC2"/>
    <w:rsid w:val="0C865822"/>
    <w:rsid w:val="0D6B035F"/>
    <w:rsid w:val="0ED012E3"/>
    <w:rsid w:val="0F1B7B63"/>
    <w:rsid w:val="0FB12F47"/>
    <w:rsid w:val="110B5BAE"/>
    <w:rsid w:val="129C720C"/>
    <w:rsid w:val="12DA4E92"/>
    <w:rsid w:val="149631F0"/>
    <w:rsid w:val="15863D5C"/>
    <w:rsid w:val="17CA65CA"/>
    <w:rsid w:val="185F4F64"/>
    <w:rsid w:val="18C272A1"/>
    <w:rsid w:val="19272D90"/>
    <w:rsid w:val="1B6E410D"/>
    <w:rsid w:val="1BD619E1"/>
    <w:rsid w:val="1BF70C84"/>
    <w:rsid w:val="1C41784C"/>
    <w:rsid w:val="1EE241F9"/>
    <w:rsid w:val="23021011"/>
    <w:rsid w:val="24355F57"/>
    <w:rsid w:val="25541585"/>
    <w:rsid w:val="259A5E57"/>
    <w:rsid w:val="260C2B89"/>
    <w:rsid w:val="29916C0F"/>
    <w:rsid w:val="29954111"/>
    <w:rsid w:val="2A847B4D"/>
    <w:rsid w:val="2BAB510F"/>
    <w:rsid w:val="2C33078A"/>
    <w:rsid w:val="2C3972DC"/>
    <w:rsid w:val="2D5C2317"/>
    <w:rsid w:val="2D88240F"/>
    <w:rsid w:val="2EC123D8"/>
    <w:rsid w:val="300264A9"/>
    <w:rsid w:val="30DA652E"/>
    <w:rsid w:val="30F206B8"/>
    <w:rsid w:val="313B4368"/>
    <w:rsid w:val="345E3ECA"/>
    <w:rsid w:val="374B39C0"/>
    <w:rsid w:val="37762746"/>
    <w:rsid w:val="383F7AC0"/>
    <w:rsid w:val="3E522CF1"/>
    <w:rsid w:val="42022339"/>
    <w:rsid w:val="42427ABB"/>
    <w:rsid w:val="43B87A19"/>
    <w:rsid w:val="4D7F0CE1"/>
    <w:rsid w:val="4D977B65"/>
    <w:rsid w:val="4ECC04FE"/>
    <w:rsid w:val="4F3A7146"/>
    <w:rsid w:val="4F3E4DCC"/>
    <w:rsid w:val="4F8A1E95"/>
    <w:rsid w:val="4F926BA0"/>
    <w:rsid w:val="51B727A0"/>
    <w:rsid w:val="52265F2D"/>
    <w:rsid w:val="530929C7"/>
    <w:rsid w:val="53890B0C"/>
    <w:rsid w:val="56717635"/>
    <w:rsid w:val="56861E6A"/>
    <w:rsid w:val="580C3AB9"/>
    <w:rsid w:val="5A4968FF"/>
    <w:rsid w:val="5A7E51F5"/>
    <w:rsid w:val="5AC87B06"/>
    <w:rsid w:val="5C0F1DCA"/>
    <w:rsid w:val="5D346505"/>
    <w:rsid w:val="5E831320"/>
    <w:rsid w:val="5EB96036"/>
    <w:rsid w:val="5EBD2230"/>
    <w:rsid w:val="5FC07394"/>
    <w:rsid w:val="60EC6236"/>
    <w:rsid w:val="61414E9A"/>
    <w:rsid w:val="63FF2724"/>
    <w:rsid w:val="650E4936"/>
    <w:rsid w:val="65870C23"/>
    <w:rsid w:val="678D0EDC"/>
    <w:rsid w:val="688553C5"/>
    <w:rsid w:val="69180510"/>
    <w:rsid w:val="6AAF3243"/>
    <w:rsid w:val="6EF943DA"/>
    <w:rsid w:val="6F513BA0"/>
    <w:rsid w:val="6FCC5AF0"/>
    <w:rsid w:val="6FD9207B"/>
    <w:rsid w:val="71C81CEF"/>
    <w:rsid w:val="726D6CB1"/>
    <w:rsid w:val="73C00B67"/>
    <w:rsid w:val="7475039B"/>
    <w:rsid w:val="74774598"/>
    <w:rsid w:val="74802F76"/>
    <w:rsid w:val="74FA3E12"/>
    <w:rsid w:val="75822AD7"/>
    <w:rsid w:val="77752C1B"/>
    <w:rsid w:val="78197E01"/>
    <w:rsid w:val="7B8437E3"/>
    <w:rsid w:val="7D142103"/>
    <w:rsid w:val="7E8232B3"/>
    <w:rsid w:val="7E830491"/>
    <w:rsid w:val="7E97340A"/>
    <w:rsid w:val="7EF463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8"/>
    <w:qFormat/>
    <w:uiPriority w:val="0"/>
    <w:rPr>
      <w:b/>
      <w:bCs/>
    </w:rPr>
  </w:style>
  <w:style w:type="character" w:styleId="10">
    <w:name w:val="Strong"/>
    <w:qFormat/>
    <w:uiPriority w:val="0"/>
    <w:rPr>
      <w:b/>
    </w:rPr>
  </w:style>
  <w:style w:type="character" w:styleId="11">
    <w:name w:val="FollowedHyperlink"/>
    <w:qFormat/>
    <w:uiPriority w:val="0"/>
    <w:rPr>
      <w:color w:val="333333"/>
      <w:u w:val="none"/>
    </w:rPr>
  </w:style>
  <w:style w:type="character" w:styleId="12">
    <w:name w:val="Hyperlink"/>
    <w:qFormat/>
    <w:uiPriority w:val="0"/>
    <w:rPr>
      <w:color w:val="333333"/>
      <w:u w:val="none"/>
    </w:rPr>
  </w:style>
  <w:style w:type="character" w:styleId="13">
    <w:name w:val="annotation reference"/>
    <w:qFormat/>
    <w:uiPriority w:val="0"/>
    <w:rPr>
      <w:sz w:val="21"/>
      <w:szCs w:val="21"/>
    </w:rPr>
  </w:style>
  <w:style w:type="character" w:customStyle="1" w:styleId="14">
    <w:name w:val="批注文字 Char"/>
    <w:link w:val="2"/>
    <w:qFormat/>
    <w:uiPriority w:val="0"/>
    <w:rPr>
      <w:rFonts w:ascii="Calibri" w:hAnsi="Calibri"/>
      <w:kern w:val="2"/>
      <w:sz w:val="21"/>
      <w:szCs w:val="24"/>
    </w:rPr>
  </w:style>
  <w:style w:type="character" w:customStyle="1" w:styleId="15">
    <w:name w:val="批注框文本 Char"/>
    <w:link w:val="3"/>
    <w:qFormat/>
    <w:uiPriority w:val="0"/>
    <w:rPr>
      <w:rFonts w:ascii="Calibri" w:hAnsi="Calibri" w:eastAsia="宋体" w:cs="Times New Roman"/>
      <w:kern w:val="2"/>
      <w:sz w:val="18"/>
      <w:szCs w:val="18"/>
    </w:rPr>
  </w:style>
  <w:style w:type="character" w:customStyle="1" w:styleId="16">
    <w:name w:val="页脚 Char"/>
    <w:link w:val="4"/>
    <w:qFormat/>
    <w:uiPriority w:val="0"/>
    <w:rPr>
      <w:rFonts w:ascii="Calibri" w:hAnsi="Calibri" w:eastAsia="宋体" w:cs="Times New Roman"/>
      <w:kern w:val="2"/>
      <w:sz w:val="18"/>
      <w:szCs w:val="18"/>
    </w:rPr>
  </w:style>
  <w:style w:type="character" w:customStyle="1" w:styleId="17">
    <w:name w:val="页眉 Char"/>
    <w:link w:val="5"/>
    <w:qFormat/>
    <w:uiPriority w:val="0"/>
    <w:rPr>
      <w:rFonts w:ascii="Calibri" w:hAnsi="Calibri" w:eastAsia="宋体" w:cs="Times New Roman"/>
      <w:kern w:val="2"/>
      <w:sz w:val="18"/>
      <w:szCs w:val="18"/>
    </w:rPr>
  </w:style>
  <w:style w:type="character" w:customStyle="1" w:styleId="18">
    <w:name w:val="批注主题 Char"/>
    <w:link w:val="7"/>
    <w:qFormat/>
    <w:uiPriority w:val="0"/>
    <w:rPr>
      <w:rFonts w:ascii="Calibri" w:hAnsi="Calibri"/>
      <w:b/>
      <w:bCs/>
      <w:kern w:val="2"/>
      <w:sz w:val="21"/>
      <w:szCs w:val="24"/>
    </w:rPr>
  </w:style>
  <w:style w:type="character" w:customStyle="1" w:styleId="19">
    <w:name w:val="font61"/>
    <w:qFormat/>
    <w:uiPriority w:val="0"/>
    <w:rPr>
      <w:rFonts w:hint="eastAsia" w:ascii="微软雅黑" w:hAnsi="微软雅黑" w:eastAsia="微软雅黑" w:cs="微软雅黑"/>
      <w:b/>
      <w:bCs/>
      <w:color w:val="000000"/>
      <w:sz w:val="18"/>
      <w:szCs w:val="18"/>
      <w:u w:val="none"/>
    </w:rPr>
  </w:style>
  <w:style w:type="character" w:customStyle="1" w:styleId="20">
    <w:name w:val="font51"/>
    <w:qFormat/>
    <w:uiPriority w:val="0"/>
    <w:rPr>
      <w:rFonts w:hint="eastAsia" w:ascii="微软雅黑" w:hAnsi="微软雅黑" w:eastAsia="微软雅黑" w:cs="微软雅黑"/>
      <w:b/>
      <w:bCs/>
      <w:color w:val="000000"/>
      <w:sz w:val="18"/>
      <w:szCs w:val="18"/>
      <w:u w:val="none"/>
    </w:rPr>
  </w:style>
  <w:style w:type="character" w:customStyle="1" w:styleId="21">
    <w:name w:val="font11"/>
    <w:qFormat/>
    <w:uiPriority w:val="0"/>
    <w:rPr>
      <w:rFonts w:hint="eastAsia" w:ascii="微软雅黑" w:hAnsi="微软雅黑" w:eastAsia="微软雅黑" w:cs="微软雅黑"/>
      <w:color w:val="000000"/>
      <w:sz w:val="18"/>
      <w:szCs w:val="18"/>
      <w:u w:val="none"/>
    </w:rPr>
  </w:style>
  <w:style w:type="character" w:customStyle="1" w:styleId="22">
    <w:name w:val="category-name"/>
    <w:qFormat/>
    <w:uiPriority w:val="0"/>
    <w:rPr>
      <w:color w:val="666666"/>
    </w:rPr>
  </w:style>
  <w:style w:type="character" w:customStyle="1" w:styleId="23">
    <w:name w:val="category-name1"/>
    <w:qFormat/>
    <w:uiPriority w:val="0"/>
    <w:rPr>
      <w:sz w:val="24"/>
      <w:szCs w:val="24"/>
    </w:rPr>
  </w:style>
  <w:style w:type="character" w:customStyle="1" w:styleId="24">
    <w:name w:val="category-name2"/>
    <w:qFormat/>
    <w:uiPriority w:val="0"/>
  </w:style>
  <w:style w:type="character" w:customStyle="1" w:styleId="25">
    <w:name w:val="layui-laypage-curr"/>
    <w:qFormat/>
    <w:uiPriority w:val="0"/>
  </w:style>
  <w:style w:type="character" w:customStyle="1" w:styleId="26">
    <w:name w:val="btn-lite-style"/>
    <w:qFormat/>
    <w:uiPriority w:val="0"/>
    <w:rPr>
      <w:color w:val="9D2227"/>
    </w:rPr>
  </w:style>
  <w:style w:type="character" w:customStyle="1" w:styleId="27">
    <w:name w:val="hover30"/>
    <w:qFormat/>
    <w:uiPriority w:val="0"/>
    <w:rPr>
      <w:shd w:val="clear" w:color="auto" w:fill="EFF1F5"/>
    </w:rPr>
  </w:style>
  <w:style w:type="character" w:customStyle="1" w:styleId="28">
    <w:name w:val="hover31"/>
    <w:qFormat/>
    <w:uiPriority w:val="0"/>
    <w:rPr>
      <w:color w:val="0786E7"/>
    </w:rPr>
  </w:style>
  <w:style w:type="character" w:customStyle="1" w:styleId="29">
    <w:name w:val="hover32"/>
    <w:qFormat/>
    <w:uiPriority w:val="0"/>
    <w:rPr>
      <w:color w:val="9D2227"/>
    </w:rPr>
  </w:style>
  <w:style w:type="character" w:customStyle="1" w:styleId="30">
    <w:name w:val="noticetitle"/>
    <w:qFormat/>
    <w:uiPriority w:val="0"/>
  </w:style>
  <w:style w:type="character" w:customStyle="1" w:styleId="31">
    <w:name w:val="icongengduo"/>
    <w:qFormat/>
    <w:uiPriority w:val="0"/>
    <w:rPr>
      <w:color w:val="333333"/>
      <w:sz w:val="18"/>
      <w:szCs w:val="18"/>
    </w:rPr>
  </w:style>
  <w:style w:type="character" w:customStyle="1" w:styleId="32">
    <w:name w:val="actived1"/>
    <w:qFormat/>
    <w:uiPriority w:val="0"/>
    <w:rPr>
      <w:shd w:val="clear" w:color="auto" w:fill="9D2227"/>
    </w:rPr>
  </w:style>
  <w:style w:type="character" w:customStyle="1" w:styleId="33">
    <w:name w:val="layui-this12"/>
    <w:qFormat/>
    <w:uiPriority w:val="0"/>
    <w:rPr>
      <w:bdr w:val="single" w:color="EEEEEE" w:sz="6" w:space="0"/>
      <w:shd w:val="clear" w:color="auto" w:fill="FFFFFF"/>
    </w:rPr>
  </w:style>
  <w:style w:type="character" w:customStyle="1" w:styleId="34">
    <w:name w:val="first-child2"/>
    <w:qFormat/>
    <w:uiPriority w:val="0"/>
  </w:style>
  <w:style w:type="character" w:customStyle="1" w:styleId="35">
    <w:name w:val="hover"/>
    <w:qFormat/>
    <w:uiPriority w:val="0"/>
    <w:rPr>
      <w:color w:val="0786E7"/>
    </w:rPr>
  </w:style>
  <w:style w:type="character" w:customStyle="1" w:styleId="36">
    <w:name w:val="hover1"/>
    <w:qFormat/>
    <w:uiPriority w:val="0"/>
    <w:rPr>
      <w:shd w:val="clear" w:color="auto" w:fill="EFF1F5"/>
    </w:rPr>
  </w:style>
  <w:style w:type="character" w:customStyle="1" w:styleId="37">
    <w:name w:val="hover2"/>
    <w:qFormat/>
    <w:uiPriority w:val="0"/>
    <w:rPr>
      <w:color w:val="9D2227"/>
    </w:rPr>
  </w:style>
  <w:style w:type="character" w:customStyle="1" w:styleId="38">
    <w:name w:val="last-child2"/>
    <w:qFormat/>
    <w:uiPriority w:val="0"/>
    <w:rPr>
      <w:color w:val="999999"/>
    </w:rPr>
  </w:style>
  <w:style w:type="character" w:customStyle="1" w:styleId="39">
    <w:name w:val="layui-this11"/>
    <w:qFormat/>
    <w:uiPriority w:val="0"/>
    <w:rPr>
      <w:bdr w:val="single" w:color="EEEEEE" w:sz="6" w:space="0"/>
      <w:shd w:val="clear" w:color="auto" w:fill="FFFFFF"/>
    </w:rPr>
  </w:style>
  <w:style w:type="character" w:customStyle="1" w:styleId="40">
    <w:name w:val="hover28"/>
    <w:qFormat/>
    <w:uiPriority w:val="0"/>
    <w:rPr>
      <w:shd w:val="clear" w:color="auto" w:fill="EFF1F5"/>
    </w:rPr>
  </w:style>
  <w:style w:type="character" w:customStyle="1" w:styleId="41">
    <w:name w:val="hover29"/>
    <w:qFormat/>
    <w:uiPriority w:val="0"/>
    <w:rPr>
      <w:color w:val="0786E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1488</Words>
  <Characters>1645</Characters>
  <Lines>16</Lines>
  <Paragraphs>4</Paragraphs>
  <TotalTime>0</TotalTime>
  <ScaleCrop>false</ScaleCrop>
  <LinksUpToDate>false</LinksUpToDate>
  <CharactersWithSpaces>1657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2023-10-19T14:21:00Z</dcterms:created>
  <dc:creator>奇奇奇</dc:creator>
  <cp:lastModifiedBy>王亜飛</cp:lastModifiedBy>
  <dcterms:modified xsi:type="dcterms:W3CDTF">2025-04-21T00:30:05Z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8F381598F3F740D2B157773AA3D27B97_13</vt:lpwstr>
  </property>
  <property fmtid="{D5CDD505-2E9C-101B-9397-08002B2CF9AE}" pid="4" name="KSOTemplateDocerSaveRecord">
    <vt:lpwstr>eyJoZGlkIjoiNWJhMTJjMTEyMzhjYTEwNDg0NTI3NzJhOGU4YTQzZmUiLCJ1c2VySWQiOiIyMzc3NjkwMDQifQ==</vt:lpwstr>
  </property>
</Properties>
</file>