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Times New Roman"/>
          <w:spacing w:val="40"/>
          <w:sz w:val="36"/>
          <w:szCs w:val="36"/>
        </w:rPr>
      </w:pPr>
      <w:r>
        <w:rPr>
          <w:rFonts w:hint="eastAsia" w:ascii="黑体" w:hAnsi="黑体" w:eastAsia="黑体" w:cs="Times New Roman"/>
          <w:spacing w:val="40"/>
          <w:sz w:val="36"/>
          <w:szCs w:val="36"/>
          <w:lang w:val="en-US" w:eastAsia="zh-CN"/>
        </w:rPr>
        <w:t>深圳市福田区</w:t>
      </w:r>
      <w:r>
        <w:rPr>
          <w:rFonts w:hint="eastAsia" w:ascii="黑体" w:hAnsi="黑体" w:eastAsia="黑体" w:cs="Times New Roman"/>
          <w:spacing w:val="40"/>
          <w:sz w:val="36"/>
          <w:szCs w:val="36"/>
        </w:rPr>
        <w:t>西交利物浦大学基础教育集团</w:t>
      </w:r>
    </w:p>
    <w:p>
      <w:pPr>
        <w:jc w:val="center"/>
        <w:rPr>
          <w:rFonts w:ascii="黑体" w:hAnsi="黑体" w:eastAsia="黑体" w:cs="Times New Roman"/>
          <w:spacing w:val="40"/>
          <w:sz w:val="36"/>
          <w:szCs w:val="36"/>
        </w:rPr>
      </w:pPr>
      <w:r>
        <w:rPr>
          <w:rFonts w:hint="eastAsia" w:ascii="黑体" w:hAnsi="黑体" w:eastAsia="黑体" w:cs="Times New Roman"/>
          <w:spacing w:val="40"/>
          <w:sz w:val="36"/>
          <w:szCs w:val="36"/>
        </w:rPr>
        <w:t>外国语学校（上步）</w:t>
      </w:r>
    </w:p>
    <w:p>
      <w:pPr>
        <w:jc w:val="center"/>
        <w:rPr>
          <w:rFonts w:ascii="黑体" w:hAnsi="黑体" w:eastAsia="黑体" w:cs="Times New Roman"/>
          <w:spacing w:val="40"/>
          <w:sz w:val="36"/>
          <w:szCs w:val="36"/>
        </w:rPr>
      </w:pPr>
      <w:r>
        <w:rPr>
          <w:rFonts w:hint="eastAsia" w:ascii="黑体" w:hAnsi="黑体" w:eastAsia="黑体" w:cs="Times New Roman"/>
          <w:spacing w:val="40"/>
          <w:sz w:val="36"/>
          <w:szCs w:val="36"/>
          <w:lang w:val="en-US" w:eastAsia="zh-CN"/>
        </w:rPr>
        <w:t>采购</w:t>
      </w:r>
      <w:r>
        <w:rPr>
          <w:rFonts w:ascii="黑体" w:hAnsi="黑体" w:eastAsia="黑体" w:cs="Times New Roman"/>
          <w:spacing w:val="40"/>
          <w:sz w:val="36"/>
          <w:szCs w:val="36"/>
        </w:rPr>
        <w:t>尚美图书馆</w:t>
      </w:r>
      <w:r>
        <w:rPr>
          <w:rFonts w:hint="eastAsia" w:ascii="黑体" w:hAnsi="黑体" w:eastAsia="黑体" w:cs="Times New Roman"/>
          <w:spacing w:val="40"/>
          <w:sz w:val="36"/>
          <w:szCs w:val="36"/>
          <w:lang w:val="en-US" w:eastAsia="zh-CN"/>
        </w:rPr>
        <w:t>3台天花机</w:t>
      </w:r>
      <w:r>
        <w:rPr>
          <w:rFonts w:hint="eastAsia" w:ascii="黑体" w:hAnsi="黑体" w:eastAsia="黑体" w:cs="Times New Roman"/>
          <w:spacing w:val="40"/>
          <w:sz w:val="36"/>
          <w:szCs w:val="36"/>
        </w:rPr>
        <w:t>项目需求书</w:t>
      </w:r>
    </w:p>
    <w:p>
      <w:pPr>
        <w:jc w:val="center"/>
        <w:rPr>
          <w:rFonts w:ascii="黑体" w:hAnsi="黑体" w:eastAsia="黑体" w:cs="Times New Roman"/>
          <w:spacing w:val="40"/>
          <w:sz w:val="44"/>
          <w:szCs w:val="44"/>
        </w:rPr>
      </w:pPr>
    </w:p>
    <w:p>
      <w:pPr>
        <w:spacing w:line="360" w:lineRule="auto"/>
        <w:ind w:firstLine="560" w:firstLineChars="200"/>
        <w:jc w:val="left"/>
        <w:outlineLvl w:val="0"/>
        <w:rPr>
          <w:rFonts w:hint="default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Times New Roman"/>
          <w:sz w:val="28"/>
          <w:szCs w:val="28"/>
        </w:rPr>
        <w:t>、项目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基本信息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1.项目名称：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>尚美图书馆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3台天花机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 xml:space="preserve">  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2.经费预算：人民币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34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>000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.00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元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3.最高限价：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人民币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34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>000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  <w:lang w:val="en-US" w:eastAsia="zh-CN"/>
        </w:rPr>
        <w:t>.00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元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.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采购方式：E商城反拍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二、采购内容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采购清单</w:t>
      </w:r>
    </w:p>
    <w:tbl>
      <w:tblPr>
        <w:tblStyle w:val="13"/>
        <w:tblW w:w="77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667"/>
        <w:gridCol w:w="2196"/>
        <w:gridCol w:w="464"/>
        <w:gridCol w:w="682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557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423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55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1</w:t>
            </w:r>
          </w:p>
        </w:tc>
        <w:tc>
          <w:tcPr>
            <w:tcW w:w="181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5匹一级能效变频冷暖四面出风天花机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bookmarkStart w:id="0" w:name="OLE_LINK5"/>
            <w:bookmarkStart w:id="1" w:name="OLE_LINK4"/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格力 KFR-120TW/(12550S) FNhCaf-B1</w:t>
            </w:r>
            <w:bookmarkEnd w:id="0"/>
            <w:bookmarkEnd w:id="1"/>
          </w:p>
        </w:tc>
        <w:tc>
          <w:tcPr>
            <w:tcW w:w="46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3</w:t>
            </w:r>
          </w:p>
        </w:tc>
        <w:tc>
          <w:tcPr>
            <w:tcW w:w="2423" w:type="dxa"/>
          </w:tcPr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22"/>
              </w:rPr>
              <w:t>R32 冷媒、380V 三相电、全直流变频、原厂面板、内置排水泵，配遥控 + 线控，含全套安装辅材及施工</w:t>
            </w:r>
          </w:p>
        </w:tc>
      </w:tr>
    </w:tbl>
    <w:p>
      <w:pPr>
        <w:spacing w:line="360" w:lineRule="auto"/>
        <w:ind w:firstLine="560" w:firstLineChars="200"/>
        <w:jc w:val="left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三、技术要求</w:t>
      </w:r>
    </w:p>
    <w:p>
      <w:pPr>
        <w:spacing w:line="360" w:lineRule="auto"/>
        <w:ind w:firstLine="440" w:firstLineChars="200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1.基础参数</w:t>
      </w:r>
    </w:p>
    <w:tbl>
      <w:tblPr>
        <w:tblStyle w:val="14"/>
        <w:tblW w:w="0" w:type="auto"/>
        <w:tblInd w:w="9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格力原厂全新正品，不接受其他品牌、串货、翻新机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产品类型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一拖一四面出风嵌入式天井天花机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3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KFR-120TW/(12550S)FNhCaf-B1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匹数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 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能效等级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新国标一级能效，严禁二级、三级能效替代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运行类型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直流变频，冷暖两用，带电辅热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制冷剂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外机电源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380V 三相交流电，拒绝 220V 单相机型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控制配置</w:t>
            </w:r>
          </w:p>
        </w:tc>
        <w:tc>
          <w:tcPr>
            <w:tcW w:w="6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遥控+线控</w:t>
            </w:r>
          </w:p>
        </w:tc>
      </w:tr>
    </w:tbl>
    <w:p>
      <w:pPr>
        <w:spacing w:line="360" w:lineRule="auto"/>
        <w:ind w:firstLine="440" w:firstLineChars="200"/>
        <w:rPr>
          <w:rFonts w:hint="default" w:asciiTheme="majorEastAsia" w:hAnsiTheme="majorEastAsia" w:eastAsiaTheme="majorEastAsia" w:cstheme="majorEastAsia"/>
          <w:bCs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  <w:lang w:val="en-US" w:eastAsia="zh-CN"/>
        </w:rPr>
        <w:t>2.性能参数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（1）额定制冷量≥12000W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（2）额定制热量≥13000W（含电辅热）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（3）循环风量≥1800m³/h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（4）标配内置冷凝水提升排水泵，防止吊顶积水渗漏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四、商务要求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（一）交货及安装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bCs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1.供货期：订单提交后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等甲方送货通知7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个日历天内</w:t>
      </w: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，供应商将全部3台格力一级能效5匹天花机主机、配套面板、全套安装辅材运送至项目现场尚美图书馆指定卸货区域，卸货费用由供应商承担。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bCs/>
          <w:sz w:val="22"/>
          <w:szCs w:val="22"/>
        </w:rPr>
        <w:t>2.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安装工期：安装作业全程配合项目现场装修施工节奏，具体进场时间、施工周期由甲乙双方现场协商；待现场吊顶、配电等施工条件完备后，乙方3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个日历天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内完成整机安装、管路铺设、通电调试及现场清理。因甲方装修未完工造成工期延误的，工期顺延；因乙方供货、施工资源不足导致延误的，由乙方承担逾期责任。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报价为总价包干，包含设备、运输、所有安装辅材、吊顶开孔、管线布线、电路接入、安装调试、垃圾清运、增值税税费，无任何额外增项。施工严格按照附件图纸点位施工。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（二）质保期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1.整机及压缩机格力官方6年全国联保，机身SN码可官网验真；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2.随货附带合格证、说明书、产品保修卡、能效标识。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（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sz w:val="22"/>
          <w:szCs w:val="22"/>
        </w:rPr>
        <w:t>）结算与付款方式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全部设备安装调试完成，供应商开具全额增值税普通发票，甲方收到发票30个工作日内一次性支付全款，如因发包人财政审批流程导致的付款延迟，不视为违约</w:t>
      </w:r>
      <w:r>
        <w:rPr>
          <w:rFonts w:hint="eastAsia" w:asciiTheme="majorEastAsia" w:hAnsiTheme="majorEastAsia" w:eastAsiaTheme="majorEastAsia" w:cstheme="majorEastAsia"/>
          <w:sz w:val="22"/>
          <w:szCs w:val="22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560" w:firstLineChars="200"/>
        <w:jc w:val="left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无效报价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1.所投产品非格力品牌、型号不满足一级能效；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2.外机为 220V 单相电源、无内置冷凝水提升泵、不配线控器；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3.承诺质保年限低于 6 年；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4.报价超出项目最高限价 34000 元；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5.报价不含安装、辅材，中标后另行收取施工、材料费用；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6.未按要求上传营业执照、格力授权、加盖公章报价表；</w:t>
      </w:r>
    </w:p>
    <w:p>
      <w:pPr>
        <w:widowControl w:val="0"/>
        <w:numPr>
          <w:ilvl w:val="0"/>
          <w:numId w:val="0"/>
        </w:numPr>
        <w:spacing w:line="360" w:lineRule="auto"/>
        <w:ind w:firstLine="440" w:firstLineChars="200"/>
        <w:jc w:val="both"/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kern w:val="2"/>
          <w:sz w:val="22"/>
          <w:szCs w:val="22"/>
          <w:lang w:val="en-US" w:eastAsia="zh-CN" w:bidi="ar-SA"/>
        </w:rPr>
        <w:t>7.承诺提供串货、翻新、样机等非全新原厂设备。</w:t>
      </w:r>
    </w:p>
    <w:p>
      <w:pPr>
        <w:spacing w:line="360" w:lineRule="auto"/>
        <w:ind w:firstLine="560" w:firstLineChars="200"/>
        <w:jc w:val="left"/>
        <w:outlineLvl w:val="0"/>
        <w:rPr>
          <w:rFonts w:hint="eastAsia" w:ascii="黑体" w:hAnsi="黑体" w:eastAsia="黑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六、竞价文件资料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需要供应商提供的证明文件资料：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</w:rPr>
        <w:t>1.加盖公章的营业执照复印件；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2.格力品牌经销商授权文件（在有效期内）；</w:t>
      </w:r>
    </w:p>
    <w:p>
      <w:pPr>
        <w:spacing w:line="360" w:lineRule="auto"/>
        <w:ind w:firstLine="440" w:firstLineChars="200"/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2"/>
          <w:szCs w:val="22"/>
          <w:lang w:val="en-US" w:eastAsia="zh-CN"/>
        </w:rPr>
        <w:t>3.加盖公章的完整报价表（详见报价表）。</w:t>
      </w:r>
    </w:p>
    <w:p>
      <w:pPr>
        <w:tabs>
          <w:tab w:val="left" w:pos="3780"/>
        </w:tabs>
        <w:spacing w:line="360" w:lineRule="auto"/>
        <w:rPr>
          <w:rFonts w:hint="eastAsia" w:ascii="宋体" w:hAnsi="宋体" w:cs="宋体"/>
          <w:b/>
          <w:bCs/>
          <w:lang w:val="en-US" w:eastAsia="zh-CN"/>
        </w:rPr>
      </w:pPr>
      <w:bookmarkStart w:id="2" w:name="_Hlk72315367"/>
    </w:p>
    <w:p>
      <w:pPr>
        <w:tabs>
          <w:tab w:val="left" w:pos="3780"/>
        </w:tabs>
        <w:spacing w:line="360" w:lineRule="auto"/>
      </w:pPr>
      <w:r>
        <w:rPr>
          <w:rFonts w:hint="eastAsia" w:ascii="宋体" w:hAnsi="宋体" w:cs="宋体"/>
          <w:b/>
          <w:bCs/>
        </w:rPr>
        <w:t>报 价 表</w:t>
      </w:r>
      <w:bookmarkEnd w:id="2"/>
    </w:p>
    <w:p>
      <w:pPr>
        <w:pStyle w:val="23"/>
        <w:rPr>
          <w:lang w:val="zh-CN"/>
        </w:rPr>
      </w:pPr>
    </w:p>
    <w:tbl>
      <w:tblPr>
        <w:tblStyle w:val="13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775"/>
        <w:gridCol w:w="1265"/>
        <w:gridCol w:w="878"/>
        <w:gridCol w:w="1112"/>
        <w:gridCol w:w="796"/>
        <w:gridCol w:w="1377"/>
        <w:gridCol w:w="13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tblHeader/>
          <w:jc w:val="center"/>
        </w:trPr>
        <w:tc>
          <w:tcPr>
            <w:tcW w:w="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序号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名称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品牌型号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单位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单价（元）</w:t>
            </w: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数量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总价（元）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72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1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t>5匹一级能效变频冷暖四面出风天花机</w:t>
            </w:r>
          </w:p>
        </w:tc>
        <w:tc>
          <w:tcPr>
            <w:tcW w:w="126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</w:rPr>
              <w:t>格力</w:t>
            </w:r>
            <w:r>
              <w:t xml:space="preserve"> KFR-120TW/(12550S) FNhCaf-B1</w:t>
            </w:r>
            <w:r>
              <w:rPr>
                <w:rFonts w:hint="eastAsia"/>
              </w:rPr>
              <w:t>（新一级能效</w:t>
            </w:r>
            <w:r>
              <w:t xml:space="preserve"> B1</w:t>
            </w:r>
            <w:r>
              <w:rPr>
                <w:rFonts w:hint="eastAsia"/>
              </w:rPr>
              <w:t>）</w:t>
            </w:r>
          </w:p>
        </w:tc>
        <w:tc>
          <w:tcPr>
            <w:tcW w:w="878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台</w:t>
            </w:r>
          </w:p>
        </w:tc>
        <w:tc>
          <w:tcPr>
            <w:tcW w:w="111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796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3</w:t>
            </w:r>
          </w:p>
        </w:tc>
        <w:tc>
          <w:tcPr>
            <w:tcW w:w="1377" w:type="dxa"/>
            <w:vAlign w:val="center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</w:p>
        </w:tc>
        <w:tc>
          <w:tcPr>
            <w:tcW w:w="1377" w:type="dxa"/>
          </w:tcPr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/>
                <w:bCs/>
                <w:szCs w:val="21"/>
              </w:rPr>
              <w:t>R32 冷媒、380V 三相电、全直流变频、原厂面板、内置排水泵，配遥控 + 线控，含全套安装辅材及施工</w:t>
            </w:r>
          </w:p>
        </w:tc>
      </w:tr>
    </w:tbl>
    <w:p>
      <w:pPr>
        <w:spacing w:line="500" w:lineRule="exact"/>
        <w:rPr>
          <w:rFonts w:ascii="宋体" w:hAnsi="宋体"/>
          <w:b/>
          <w:spacing w:val="4"/>
          <w:szCs w:val="21"/>
        </w:rPr>
      </w:pPr>
    </w:p>
    <w:p>
      <w:pPr>
        <w:spacing w:line="500" w:lineRule="exact"/>
        <w:rPr>
          <w:rFonts w:ascii="宋体" w:hAnsi="宋体"/>
          <w:b/>
          <w:spacing w:val="4"/>
          <w:szCs w:val="21"/>
        </w:rPr>
      </w:pPr>
      <w:r>
        <w:rPr>
          <w:rFonts w:hint="eastAsia" w:ascii="宋体" w:hAnsi="宋体"/>
          <w:b/>
          <w:spacing w:val="4"/>
          <w:szCs w:val="21"/>
        </w:rPr>
        <w:t>注：</w:t>
      </w:r>
    </w:p>
    <w:p>
      <w:pPr>
        <w:widowControl/>
        <w:numPr>
          <w:ilvl w:val="0"/>
          <w:numId w:val="2"/>
        </w:numPr>
        <w:spacing w:line="340" w:lineRule="exac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报价为总价包干，包含设备、运输、所有安装辅材、吊顶开孔、管线布线、电路接入、安装调试、垃圾清运、增值税税费，无任何额外增项。</w:t>
      </w:r>
    </w:p>
    <w:p>
      <w:pPr>
        <w:widowControl/>
        <w:numPr>
          <w:ilvl w:val="0"/>
          <w:numId w:val="2"/>
        </w:numPr>
        <w:spacing w:line="340" w:lineRule="exact"/>
        <w:rPr>
          <w:rFonts w:ascii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以上报价格式仅为参考，供应商可根据自身实际情况调整报价文件格式；</w:t>
      </w:r>
      <w:r>
        <w:rPr>
          <w:rFonts w:ascii="宋体"/>
          <w:b/>
          <w:bCs/>
          <w:kern w:val="0"/>
          <w:szCs w:val="21"/>
        </w:rPr>
        <w:t xml:space="preserve"> </w:t>
      </w:r>
    </w:p>
    <w:p>
      <w:pPr>
        <w:pStyle w:val="11"/>
        <w:numPr>
          <w:ilvl w:val="0"/>
          <w:numId w:val="2"/>
        </w:numPr>
        <w:shd w:val="clear" w:color="auto" w:fill="FFFFFF"/>
        <w:spacing w:line="276" w:lineRule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所有价格均系用人民币表示，单位为元，</w:t>
      </w:r>
      <w:r>
        <w:rPr>
          <w:rFonts w:hint="eastAsia"/>
          <w:b/>
          <w:bCs/>
          <w:sz w:val="21"/>
          <w:szCs w:val="21"/>
        </w:rPr>
        <w:t>均为含税价</w:t>
      </w:r>
      <w:r>
        <w:rPr>
          <w:rFonts w:hint="eastAsia"/>
          <w:b/>
          <w:sz w:val="21"/>
          <w:szCs w:val="21"/>
        </w:rPr>
        <w:t>；</w:t>
      </w:r>
    </w:p>
    <w:p>
      <w:pPr>
        <w:spacing w:line="500" w:lineRule="exact"/>
        <w:rPr>
          <w:rFonts w:ascii="宋体" w:hAnsi="宋体"/>
          <w:szCs w:val="21"/>
          <w:u w:val="single"/>
        </w:rPr>
      </w:pPr>
      <w:r>
        <w:rPr>
          <w:rFonts w:hint="eastAsia" w:ascii="宋体" w:hAnsi="宋体"/>
          <w:spacing w:val="4"/>
          <w:szCs w:val="21"/>
        </w:rPr>
        <w:t>供应商名称（</w:t>
      </w:r>
      <w:r>
        <w:rPr>
          <w:rFonts w:hint="eastAsia" w:ascii="宋体" w:hAnsi="宋体"/>
          <w:szCs w:val="21"/>
        </w:rPr>
        <w:t>单位盖</w:t>
      </w:r>
      <w:r>
        <w:rPr>
          <w:rFonts w:hint="eastAsia" w:ascii="宋体" w:hAnsi="宋体"/>
          <w:spacing w:val="4"/>
          <w:szCs w:val="21"/>
        </w:rPr>
        <w:t>公章）：</w:t>
      </w:r>
      <w:r>
        <w:rPr>
          <w:rFonts w:ascii="宋体" w:hAnsi="宋体"/>
          <w:spacing w:val="4"/>
          <w:szCs w:val="21"/>
          <w:u w:val="single"/>
        </w:rPr>
        <w:t xml:space="preserve">                     </w:t>
      </w:r>
    </w:p>
    <w:p>
      <w:pPr>
        <w:spacing w:line="520" w:lineRule="exact"/>
        <w:rPr>
          <w:rFonts w:ascii="宋体" w:hAnsi="宋体"/>
          <w:spacing w:val="4"/>
          <w:szCs w:val="21"/>
          <w:u w:val="single"/>
        </w:rPr>
      </w:pPr>
      <w:r>
        <w:rPr>
          <w:rFonts w:hint="eastAsia" w:ascii="宋体" w:hAnsi="宋体"/>
          <w:spacing w:val="4"/>
          <w:szCs w:val="21"/>
        </w:rPr>
        <w:t>日期：</w:t>
      </w:r>
      <w:r>
        <w:rPr>
          <w:rFonts w:ascii="宋体" w:hAnsi="宋体"/>
          <w:spacing w:val="4"/>
          <w:szCs w:val="21"/>
          <w:u w:val="single"/>
        </w:rPr>
        <w:t xml:space="preserve">                     </w:t>
      </w:r>
    </w:p>
    <w:p>
      <w:pPr>
        <w:pStyle w:val="23"/>
        <w:ind w:left="0" w:leftChars="0" w:firstLine="0" w:firstLineChars="0"/>
      </w:pPr>
    </w:p>
    <w:p>
      <w:pPr>
        <w:pStyle w:val="23"/>
        <w:ind w:left="0" w:leftChars="0" w:firstLine="0" w:firstLineChars="0"/>
      </w:pPr>
    </w:p>
    <w:p>
      <w:pPr>
        <w:pStyle w:val="23"/>
        <w:ind w:left="0" w:leftChars="0" w:firstLine="0" w:firstLineChars="0"/>
      </w:pPr>
    </w:p>
    <w:p>
      <w:pPr>
        <w:pStyle w:val="23"/>
        <w:ind w:left="0" w:leftChars="0" w:firstLine="0" w:firstLineChars="0"/>
      </w:pPr>
    </w:p>
    <w:p>
      <w:pPr>
        <w:pStyle w:val="23"/>
        <w:ind w:left="0" w:leftChars="0" w:firstLine="0" w:firstLineChars="0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74" w:right="1134" w:bottom="1134" w:left="1361" w:header="851" w:footer="85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3</w:t>
    </w:r>
    <w:r>
      <w:rPr>
        <w:rFonts w:ascii="宋体" w:hAnsi="宋体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PAGE   \* MERGEFORMAT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2</w:t>
    </w:r>
    <w:r>
      <w:rPr>
        <w:rFonts w:ascii="宋体" w:hAnsi="宋体"/>
        <w:sz w:val="21"/>
        <w:szCs w:val="21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1CA6DC"/>
    <w:multiLevelType w:val="singleLevel"/>
    <w:tmpl w:val="E21CA6D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19083E"/>
    <w:multiLevelType w:val="multilevel"/>
    <w:tmpl w:val="6E19083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ywiaGRpZCI6IjBmZjNhMTZiNGE0NzM4YWQwMjA5NDg0OTI5YTg3YTQyIiwidXNlckNvdW50Ijo2fQ=="/>
  </w:docVars>
  <w:rsids>
    <w:rsidRoot w:val="5B0F19ED"/>
    <w:rsid w:val="000122CA"/>
    <w:rsid w:val="00016AAD"/>
    <w:rsid w:val="00054D5B"/>
    <w:rsid w:val="0007456C"/>
    <w:rsid w:val="00082492"/>
    <w:rsid w:val="000A4998"/>
    <w:rsid w:val="00103CCD"/>
    <w:rsid w:val="00104F22"/>
    <w:rsid w:val="001214DA"/>
    <w:rsid w:val="00183CC5"/>
    <w:rsid w:val="001A7528"/>
    <w:rsid w:val="001E7D2E"/>
    <w:rsid w:val="0030435D"/>
    <w:rsid w:val="003120F0"/>
    <w:rsid w:val="00354209"/>
    <w:rsid w:val="00371DD2"/>
    <w:rsid w:val="003846E3"/>
    <w:rsid w:val="003E17C3"/>
    <w:rsid w:val="003E27D9"/>
    <w:rsid w:val="004223E3"/>
    <w:rsid w:val="004324EE"/>
    <w:rsid w:val="004576B6"/>
    <w:rsid w:val="00494BD6"/>
    <w:rsid w:val="004C1986"/>
    <w:rsid w:val="004F3D2D"/>
    <w:rsid w:val="00626C0F"/>
    <w:rsid w:val="00687748"/>
    <w:rsid w:val="006C657D"/>
    <w:rsid w:val="006C73BA"/>
    <w:rsid w:val="00747D2E"/>
    <w:rsid w:val="00766C30"/>
    <w:rsid w:val="00785145"/>
    <w:rsid w:val="007923FC"/>
    <w:rsid w:val="007C0103"/>
    <w:rsid w:val="007C5432"/>
    <w:rsid w:val="007E0F7E"/>
    <w:rsid w:val="008402E6"/>
    <w:rsid w:val="00883D93"/>
    <w:rsid w:val="00887940"/>
    <w:rsid w:val="00961CCC"/>
    <w:rsid w:val="009D245E"/>
    <w:rsid w:val="00A13BD3"/>
    <w:rsid w:val="00A50CDF"/>
    <w:rsid w:val="00AD42A2"/>
    <w:rsid w:val="00B04654"/>
    <w:rsid w:val="00B326BF"/>
    <w:rsid w:val="00B5459C"/>
    <w:rsid w:val="00B572CB"/>
    <w:rsid w:val="00BF4534"/>
    <w:rsid w:val="00C41139"/>
    <w:rsid w:val="00CA11B4"/>
    <w:rsid w:val="00CB0ADC"/>
    <w:rsid w:val="00DF1938"/>
    <w:rsid w:val="00EC11B0"/>
    <w:rsid w:val="00F47A4D"/>
    <w:rsid w:val="00FD70B1"/>
    <w:rsid w:val="01822573"/>
    <w:rsid w:val="03802AE2"/>
    <w:rsid w:val="039E565E"/>
    <w:rsid w:val="03EFED63"/>
    <w:rsid w:val="06255BC2"/>
    <w:rsid w:val="08154250"/>
    <w:rsid w:val="0A002BCE"/>
    <w:rsid w:val="0AD36015"/>
    <w:rsid w:val="0CA058A1"/>
    <w:rsid w:val="0CE560AB"/>
    <w:rsid w:val="0E0B1E3B"/>
    <w:rsid w:val="0EFB3964"/>
    <w:rsid w:val="0F6300FD"/>
    <w:rsid w:val="0FA3156A"/>
    <w:rsid w:val="10E01064"/>
    <w:rsid w:val="12054EE8"/>
    <w:rsid w:val="13A91BE1"/>
    <w:rsid w:val="140137CB"/>
    <w:rsid w:val="14427960"/>
    <w:rsid w:val="191C10A7"/>
    <w:rsid w:val="1DD261D8"/>
    <w:rsid w:val="1F77D99A"/>
    <w:rsid w:val="1FEF1D66"/>
    <w:rsid w:val="200A5CC6"/>
    <w:rsid w:val="204C2272"/>
    <w:rsid w:val="204F58BE"/>
    <w:rsid w:val="2077148F"/>
    <w:rsid w:val="21690C01"/>
    <w:rsid w:val="22C55A27"/>
    <w:rsid w:val="22C5630B"/>
    <w:rsid w:val="23CF6B43"/>
    <w:rsid w:val="245872B7"/>
    <w:rsid w:val="26B26ED9"/>
    <w:rsid w:val="277A5916"/>
    <w:rsid w:val="284321AC"/>
    <w:rsid w:val="2A115284"/>
    <w:rsid w:val="2BED0691"/>
    <w:rsid w:val="2EDDDFB6"/>
    <w:rsid w:val="2F271038"/>
    <w:rsid w:val="2F4D3910"/>
    <w:rsid w:val="2F7FE48E"/>
    <w:rsid w:val="2F835584"/>
    <w:rsid w:val="2FAF583F"/>
    <w:rsid w:val="31903F88"/>
    <w:rsid w:val="334F53ED"/>
    <w:rsid w:val="36924DAD"/>
    <w:rsid w:val="36C24BE4"/>
    <w:rsid w:val="36D63769"/>
    <w:rsid w:val="36E903C3"/>
    <w:rsid w:val="38D83A83"/>
    <w:rsid w:val="39B9F6BA"/>
    <w:rsid w:val="39D72FC8"/>
    <w:rsid w:val="3A3C2EFF"/>
    <w:rsid w:val="3B372CCC"/>
    <w:rsid w:val="3BFDEAA2"/>
    <w:rsid w:val="3BFFEDC8"/>
    <w:rsid w:val="3C4E65BE"/>
    <w:rsid w:val="3C5A6149"/>
    <w:rsid w:val="3D874491"/>
    <w:rsid w:val="3DE11DF4"/>
    <w:rsid w:val="3DE36125"/>
    <w:rsid w:val="3DFBDFCD"/>
    <w:rsid w:val="3EB8613C"/>
    <w:rsid w:val="3EBFB5E6"/>
    <w:rsid w:val="3EFE1F3E"/>
    <w:rsid w:val="3F0400C2"/>
    <w:rsid w:val="3F6C1B91"/>
    <w:rsid w:val="3FF34060"/>
    <w:rsid w:val="40E83499"/>
    <w:rsid w:val="435273D7"/>
    <w:rsid w:val="442D3264"/>
    <w:rsid w:val="47D678E2"/>
    <w:rsid w:val="47FB88F0"/>
    <w:rsid w:val="48166B3E"/>
    <w:rsid w:val="48270D4B"/>
    <w:rsid w:val="4A3B13F5"/>
    <w:rsid w:val="4AB65F9E"/>
    <w:rsid w:val="4AEE78FE"/>
    <w:rsid w:val="4B400030"/>
    <w:rsid w:val="4BE156B5"/>
    <w:rsid w:val="4D681ED9"/>
    <w:rsid w:val="4E7F077B"/>
    <w:rsid w:val="4F2F7669"/>
    <w:rsid w:val="4FD50121"/>
    <w:rsid w:val="5020469B"/>
    <w:rsid w:val="5301620A"/>
    <w:rsid w:val="533662E6"/>
    <w:rsid w:val="538057B3"/>
    <w:rsid w:val="539D5F78"/>
    <w:rsid w:val="54276015"/>
    <w:rsid w:val="567D739E"/>
    <w:rsid w:val="569EB3C5"/>
    <w:rsid w:val="570E73AF"/>
    <w:rsid w:val="5769332A"/>
    <w:rsid w:val="57FB9911"/>
    <w:rsid w:val="57FFDFAB"/>
    <w:rsid w:val="59592D2E"/>
    <w:rsid w:val="595F8ADB"/>
    <w:rsid w:val="599038CB"/>
    <w:rsid w:val="5A5B3CCD"/>
    <w:rsid w:val="5ADC6B47"/>
    <w:rsid w:val="5B0B50CE"/>
    <w:rsid w:val="5B0F19ED"/>
    <w:rsid w:val="5B637E94"/>
    <w:rsid w:val="5BBB7A63"/>
    <w:rsid w:val="5C45759A"/>
    <w:rsid w:val="5C6914DA"/>
    <w:rsid w:val="5CFD17CC"/>
    <w:rsid w:val="5E310CEF"/>
    <w:rsid w:val="5F2DE5F0"/>
    <w:rsid w:val="5F6C8325"/>
    <w:rsid w:val="5F99822D"/>
    <w:rsid w:val="5FDD70F5"/>
    <w:rsid w:val="5FF21F4D"/>
    <w:rsid w:val="603A0512"/>
    <w:rsid w:val="61060736"/>
    <w:rsid w:val="63AC75C7"/>
    <w:rsid w:val="63B417CB"/>
    <w:rsid w:val="63FC0E86"/>
    <w:rsid w:val="64994927"/>
    <w:rsid w:val="65C53B91"/>
    <w:rsid w:val="664F1741"/>
    <w:rsid w:val="66754F1F"/>
    <w:rsid w:val="68273FF7"/>
    <w:rsid w:val="6AD06BC8"/>
    <w:rsid w:val="6B3215A9"/>
    <w:rsid w:val="6B6D9478"/>
    <w:rsid w:val="6BD83F86"/>
    <w:rsid w:val="6CA42A35"/>
    <w:rsid w:val="6CCE7343"/>
    <w:rsid w:val="6D372F2F"/>
    <w:rsid w:val="6D38300F"/>
    <w:rsid w:val="6E757895"/>
    <w:rsid w:val="6F7C0893"/>
    <w:rsid w:val="6FAF08FA"/>
    <w:rsid w:val="6FCF3182"/>
    <w:rsid w:val="6FEE8907"/>
    <w:rsid w:val="72113D4E"/>
    <w:rsid w:val="72C07522"/>
    <w:rsid w:val="733EAAC9"/>
    <w:rsid w:val="734E2D80"/>
    <w:rsid w:val="737BAA98"/>
    <w:rsid w:val="763E4FE9"/>
    <w:rsid w:val="77F7BC32"/>
    <w:rsid w:val="77FF3C81"/>
    <w:rsid w:val="786A5D74"/>
    <w:rsid w:val="788A485A"/>
    <w:rsid w:val="79164B69"/>
    <w:rsid w:val="79646E59"/>
    <w:rsid w:val="796F745B"/>
    <w:rsid w:val="796F75FF"/>
    <w:rsid w:val="798884FE"/>
    <w:rsid w:val="79C6CF0F"/>
    <w:rsid w:val="7AD65B35"/>
    <w:rsid w:val="7B241EDA"/>
    <w:rsid w:val="7B8D6EB1"/>
    <w:rsid w:val="7BA1129A"/>
    <w:rsid w:val="7BD94F7C"/>
    <w:rsid w:val="7BF4BA33"/>
    <w:rsid w:val="7BFF3398"/>
    <w:rsid w:val="7CFAE918"/>
    <w:rsid w:val="7D0B7E50"/>
    <w:rsid w:val="7D3DB584"/>
    <w:rsid w:val="7D6438CC"/>
    <w:rsid w:val="7D9DB07E"/>
    <w:rsid w:val="7DFE18AD"/>
    <w:rsid w:val="7E7BB146"/>
    <w:rsid w:val="7E7F5D1D"/>
    <w:rsid w:val="7ECF1219"/>
    <w:rsid w:val="7EDFDF87"/>
    <w:rsid w:val="7EDFF854"/>
    <w:rsid w:val="7F1D8A20"/>
    <w:rsid w:val="7F68B9AE"/>
    <w:rsid w:val="7F7A9EFA"/>
    <w:rsid w:val="7F7F4276"/>
    <w:rsid w:val="7F9B9763"/>
    <w:rsid w:val="7F9D226A"/>
    <w:rsid w:val="7FB33AC8"/>
    <w:rsid w:val="7FCE0115"/>
    <w:rsid w:val="7FD310F1"/>
    <w:rsid w:val="7FE142DA"/>
    <w:rsid w:val="7FF3D5EE"/>
    <w:rsid w:val="7FFB9EFE"/>
    <w:rsid w:val="7FFE3F1F"/>
    <w:rsid w:val="7FFF0B7C"/>
    <w:rsid w:val="8AF72B1D"/>
    <w:rsid w:val="8BB5DDD0"/>
    <w:rsid w:val="8DFC902D"/>
    <w:rsid w:val="9CE7F090"/>
    <w:rsid w:val="9EFDF545"/>
    <w:rsid w:val="9F8BEB9D"/>
    <w:rsid w:val="9FBF8662"/>
    <w:rsid w:val="AA3F8B74"/>
    <w:rsid w:val="B7460A52"/>
    <w:rsid w:val="B85351AF"/>
    <w:rsid w:val="B9BF80A0"/>
    <w:rsid w:val="BAF4AF31"/>
    <w:rsid w:val="BD4B20CD"/>
    <w:rsid w:val="BF5A3764"/>
    <w:rsid w:val="BFCF3D93"/>
    <w:rsid w:val="BFF70F22"/>
    <w:rsid w:val="BFFC4F66"/>
    <w:rsid w:val="BFFEDB51"/>
    <w:rsid w:val="C7BE8FA9"/>
    <w:rsid w:val="CFE5CD00"/>
    <w:rsid w:val="D6FFE68B"/>
    <w:rsid w:val="D72FEB10"/>
    <w:rsid w:val="D7FE1A9B"/>
    <w:rsid w:val="D7FE9A3F"/>
    <w:rsid w:val="DEE65BCC"/>
    <w:rsid w:val="DFB7E10C"/>
    <w:rsid w:val="DFBB3687"/>
    <w:rsid w:val="DFE5CA83"/>
    <w:rsid w:val="DFEBAAA3"/>
    <w:rsid w:val="DFF79C80"/>
    <w:rsid w:val="E4544762"/>
    <w:rsid w:val="E76F8167"/>
    <w:rsid w:val="E7BD771E"/>
    <w:rsid w:val="EDBB6E2B"/>
    <w:rsid w:val="EF7B5A7D"/>
    <w:rsid w:val="F3BBCB4B"/>
    <w:rsid w:val="F3FF6C0D"/>
    <w:rsid w:val="F477A2BF"/>
    <w:rsid w:val="F5FF6565"/>
    <w:rsid w:val="F6D7DBD2"/>
    <w:rsid w:val="F6FF776C"/>
    <w:rsid w:val="F7BB4162"/>
    <w:rsid w:val="F7EEA255"/>
    <w:rsid w:val="F7EFC63D"/>
    <w:rsid w:val="F7EFF4B8"/>
    <w:rsid w:val="F7F55A6A"/>
    <w:rsid w:val="F7F60BBD"/>
    <w:rsid w:val="F86E762A"/>
    <w:rsid w:val="F8FD61C4"/>
    <w:rsid w:val="FAB78C56"/>
    <w:rsid w:val="FAEAAEC8"/>
    <w:rsid w:val="FB3F10CC"/>
    <w:rsid w:val="FBFDC8FF"/>
    <w:rsid w:val="FC7DA30C"/>
    <w:rsid w:val="FCDFBD23"/>
    <w:rsid w:val="FD7F7EA2"/>
    <w:rsid w:val="FEFB73EB"/>
    <w:rsid w:val="FEFC62B7"/>
    <w:rsid w:val="FEFC87E5"/>
    <w:rsid w:val="FF522BD5"/>
    <w:rsid w:val="FF5F3058"/>
    <w:rsid w:val="FF7B32E5"/>
    <w:rsid w:val="FF8E4B94"/>
    <w:rsid w:val="FFBDDEFC"/>
    <w:rsid w:val="FFBF13C4"/>
    <w:rsid w:val="FFF71411"/>
    <w:rsid w:val="FFFB9B7C"/>
    <w:rsid w:val="FFFE5F94"/>
    <w:rsid w:val="FFFE84A9"/>
    <w:rsid w:val="FFFFD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28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szCs w:val="20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rFonts w:ascii="楷体_GB2312" w:hAnsi="华文楷体" w:eastAsia="楷体_GB2312" w:cs="Times New Roman"/>
      <w:color w:val="000000"/>
      <w:sz w:val="28"/>
      <w:szCs w:val="28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Body Text First Indent 2"/>
    <w:basedOn w:val="7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框文本 字符"/>
    <w:basedOn w:val="15"/>
    <w:link w:val="8"/>
    <w:semiHidden/>
    <w:qFormat/>
    <w:uiPriority w:val="99"/>
    <w:rPr>
      <w:sz w:val="18"/>
      <w:szCs w:val="18"/>
    </w:rPr>
  </w:style>
  <w:style w:type="character" w:customStyle="1" w:styleId="21">
    <w:name w:val="页眉 字符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2">
    <w:name w:val="Char Char Char Char Char Char Char Char Char Char1"/>
    <w:basedOn w:val="1"/>
    <w:qFormat/>
    <w:uiPriority w:val="0"/>
    <w:pPr>
      <w:widowControl/>
      <w:spacing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">
    <w:name w:val="_Style 1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rFonts w:ascii="Times New Roman" w:hAnsi="Times New Roman" w:eastAsia="宋体" w:cs="Times New Roman"/>
      <w:snapToGrid w:val="0"/>
      <w:spacing w:val="20"/>
      <w:kern w:val="0"/>
      <w:sz w:val="24"/>
      <w:szCs w:val="20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character" w:customStyle="1" w:styleId="27">
    <w:name w:val="标题 2 字符"/>
    <w:basedOn w:val="15"/>
    <w:link w:val="2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8">
    <w:name w:val="标题 3 字符"/>
    <w:basedOn w:val="15"/>
    <w:link w:val="3"/>
    <w:qFormat/>
    <w:uiPriority w:val="9"/>
    <w:rPr>
      <w:rFonts w:ascii="宋体" w:hAnsi="宋体" w:cs="宋体"/>
      <w:b/>
      <w:bCs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1326</Words>
  <Characters>1482</Characters>
  <Lines>29</Lines>
  <Paragraphs>8</Paragraphs>
  <TotalTime>35</TotalTime>
  <ScaleCrop>false</ScaleCrop>
  <LinksUpToDate>false</LinksUpToDate>
  <CharactersWithSpaces>1558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2025-04-25T06:36:00Z</dcterms:created>
  <dc:creator>nothing</dc:creator>
  <cp:lastModifiedBy>Administrator</cp:lastModifiedBy>
  <cp:lastPrinted>2026-07-13T04:17:00Z</cp:lastPrinted>
  <dcterms:modified xsi:type="dcterms:W3CDTF">2026-07-13T05:13:26Z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UUID">
    <vt:lpwstr>v1.0_mb_+Uyl4m3ue68XKP4Dx1/PqQ==</vt:lpwstr>
  </property>
  <property fmtid="{D5CDD505-2E9C-101B-9397-08002B2CF9AE}" pid="4" name="ICV">
    <vt:lpwstr>11D9CA5D50074BB8ACE6B42D2ABDD66B_13</vt:lpwstr>
  </property>
  <property fmtid="{D5CDD505-2E9C-101B-9397-08002B2CF9AE}" pid="5" name="KSOTemplateDocerSaveRecord">
    <vt:lpwstr>eyJoZGlkIjoiMzkwOTU2YTJmZDRkOWM1YTYyNWZjMTcwN2QzNjQwMTIiLCJ1c2VySWQiOiI4MDkyNzY5MDUifQ==</vt:lpwstr>
  </property>
</Properties>
</file>